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81B4" w14:textId="77777777" w:rsidR="00985D58" w:rsidRPr="00DA787F" w:rsidRDefault="00985D58" w:rsidP="00636A04">
      <w:pPr>
        <w:spacing w:line="360" w:lineRule="auto"/>
        <w:rPr>
          <w:rFonts w:ascii="Aptos" w:hAnsi="Aptos"/>
        </w:rPr>
      </w:pPr>
    </w:p>
    <w:p w14:paraId="2E37019F" w14:textId="77777777" w:rsidR="00F678B8" w:rsidRPr="00DA787F" w:rsidRDefault="00F678B8" w:rsidP="008B04C0">
      <w:pPr>
        <w:rPr>
          <w:rFonts w:ascii="Aptos" w:hAnsi="Aptos"/>
          <w:b/>
          <w:bCs/>
          <w:color w:val="00B0F0"/>
          <w:sz w:val="28"/>
          <w:szCs w:val="28"/>
        </w:rPr>
      </w:pPr>
    </w:p>
    <w:p w14:paraId="0945F355" w14:textId="77777777" w:rsidR="00F678B8" w:rsidRPr="00DA787F" w:rsidRDefault="00F678B8" w:rsidP="008B04C0">
      <w:pPr>
        <w:rPr>
          <w:rFonts w:ascii="Aptos" w:hAnsi="Aptos"/>
          <w:b/>
          <w:bCs/>
          <w:color w:val="00B0F0"/>
          <w:sz w:val="28"/>
          <w:szCs w:val="28"/>
        </w:rPr>
      </w:pPr>
    </w:p>
    <w:p w14:paraId="5D6C31D6" w14:textId="66FE26A4" w:rsidR="0031569B" w:rsidRPr="00DA787F" w:rsidRDefault="00B06FC8" w:rsidP="008B04C0">
      <w:pPr>
        <w:rPr>
          <w:rFonts w:ascii="Aptos" w:hAnsi="Aptos"/>
          <w:b/>
          <w:bCs/>
          <w:color w:val="00B0F0"/>
          <w:sz w:val="28"/>
          <w:szCs w:val="28"/>
          <w:lang w:val="de-DE"/>
        </w:rPr>
      </w:pPr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 xml:space="preserve">Sennheiser </w:t>
      </w:r>
      <w:r w:rsidR="002124E5"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>stellt</w:t>
      </w:r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 xml:space="preserve"> </w:t>
      </w:r>
      <w:proofErr w:type="spellStart"/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>TeamConnect</w:t>
      </w:r>
      <w:proofErr w:type="spellEnd"/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 xml:space="preserve"> </w:t>
      </w:r>
      <w:proofErr w:type="spellStart"/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>Ceiling</w:t>
      </w:r>
      <w:proofErr w:type="spellEnd"/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 xml:space="preserve"> M Plus </w:t>
      </w:r>
      <w:r w:rsidR="002124E5"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>vor</w:t>
      </w:r>
      <w:r w:rsidRPr="00DA787F">
        <w:rPr>
          <w:rFonts w:ascii="Aptos" w:hAnsi="Aptos"/>
          <w:b/>
          <w:bCs/>
          <w:color w:val="00B0F0"/>
          <w:sz w:val="28"/>
          <w:szCs w:val="28"/>
          <w:lang w:val="de-DE"/>
        </w:rPr>
        <w:t xml:space="preserve"> </w:t>
      </w:r>
    </w:p>
    <w:p w14:paraId="01353ECB" w14:textId="77777777" w:rsidR="002124E5" w:rsidRPr="00DA787F" w:rsidRDefault="002124E5" w:rsidP="008B04C0">
      <w:pPr>
        <w:rPr>
          <w:rFonts w:ascii="Aptos" w:hAnsi="Aptos"/>
          <w:sz w:val="24"/>
          <w:szCs w:val="24"/>
          <w:lang w:val="de-DE"/>
        </w:rPr>
      </w:pPr>
    </w:p>
    <w:p w14:paraId="64EC8AF3" w14:textId="4727A7E6" w:rsidR="002124E5" w:rsidRPr="00DA787F" w:rsidRDefault="002124E5" w:rsidP="008B04C0">
      <w:pPr>
        <w:rPr>
          <w:rFonts w:ascii="Aptos" w:hAnsi="Aptos"/>
          <w:sz w:val="24"/>
          <w:szCs w:val="24"/>
          <w:lang w:val="de-DE"/>
        </w:rPr>
      </w:pPr>
      <w:r w:rsidRPr="00DA787F">
        <w:rPr>
          <w:rFonts w:ascii="Aptos" w:hAnsi="Aptos"/>
          <w:sz w:val="24"/>
          <w:szCs w:val="24"/>
          <w:lang w:val="de-DE"/>
        </w:rPr>
        <w:t xml:space="preserve">Das neueste Mitglied der </w:t>
      </w:r>
      <w:proofErr w:type="spellStart"/>
      <w:r w:rsidRPr="00DA787F">
        <w:rPr>
          <w:rFonts w:ascii="Aptos" w:hAnsi="Aptos"/>
          <w:sz w:val="24"/>
          <w:szCs w:val="24"/>
          <w:lang w:val="de-DE"/>
        </w:rPr>
        <w:t>TeamConnect</w:t>
      </w:r>
      <w:proofErr w:type="spellEnd"/>
      <w:r w:rsidRPr="00DA787F">
        <w:rPr>
          <w:rFonts w:ascii="Aptos" w:hAnsi="Aptos"/>
          <w:sz w:val="24"/>
          <w:szCs w:val="24"/>
          <w:lang w:val="de-DE"/>
        </w:rPr>
        <w:t>-Familie liefert klare Audioqualität, lässt sich einfach einrichten, zentral verwalten und nahtlos integrieren</w:t>
      </w:r>
    </w:p>
    <w:p w14:paraId="4400FFB3" w14:textId="77777777" w:rsidR="000C61E2" w:rsidRPr="00DA787F" w:rsidRDefault="000C61E2" w:rsidP="008B04C0">
      <w:pPr>
        <w:rPr>
          <w:rFonts w:ascii="Aptos" w:hAnsi="Aptos"/>
          <w:i/>
          <w:iCs/>
          <w:sz w:val="20"/>
          <w:szCs w:val="20"/>
          <w:lang w:val="de-DE"/>
        </w:rPr>
      </w:pPr>
    </w:p>
    <w:p w14:paraId="63D64E6A" w14:textId="5C197260" w:rsidR="002124E5" w:rsidRPr="00DA787F" w:rsidRDefault="00E91D0C" w:rsidP="00AF2273">
      <w:pPr>
        <w:spacing w:line="360" w:lineRule="auto"/>
        <w:rPr>
          <w:rFonts w:ascii="Aptos" w:hAnsi="Aptos"/>
          <w:b/>
          <w:bCs/>
          <w:sz w:val="20"/>
          <w:szCs w:val="20"/>
          <w:lang w:val="de-DE"/>
        </w:rPr>
      </w:pPr>
      <w:r w:rsidRPr="00DA787F">
        <w:rPr>
          <w:rFonts w:ascii="Aptos" w:hAnsi="Aptos"/>
          <w:b/>
          <w:bCs/>
          <w:i/>
          <w:iCs/>
          <w:sz w:val="20"/>
          <w:szCs w:val="20"/>
          <w:lang w:val="de-DE"/>
        </w:rPr>
        <w:t>Wedemark, Deutschland,</w:t>
      </w:r>
      <w:r w:rsidR="00CE6AFC" w:rsidRPr="00DA787F">
        <w:rPr>
          <w:rFonts w:ascii="Aptos" w:hAnsi="Aptos"/>
          <w:b/>
          <w:bCs/>
          <w:i/>
          <w:iCs/>
          <w:sz w:val="20"/>
          <w:szCs w:val="20"/>
          <w:lang w:val="de-DE"/>
        </w:rPr>
        <w:t xml:space="preserve"> </w:t>
      </w:r>
      <w:r w:rsidR="004932E8" w:rsidRPr="00DA787F">
        <w:rPr>
          <w:rFonts w:ascii="Aptos" w:hAnsi="Aptos"/>
          <w:b/>
          <w:bCs/>
          <w:i/>
          <w:iCs/>
          <w:sz w:val="20"/>
          <w:szCs w:val="20"/>
          <w:lang w:val="de-DE"/>
        </w:rPr>
        <w:t>9</w:t>
      </w:r>
      <w:r w:rsidR="00CE6AFC" w:rsidRPr="00DA787F">
        <w:rPr>
          <w:rFonts w:ascii="Aptos" w:hAnsi="Aptos"/>
          <w:b/>
          <w:bCs/>
          <w:i/>
          <w:iCs/>
          <w:sz w:val="20"/>
          <w:szCs w:val="20"/>
          <w:lang w:val="de-DE"/>
        </w:rPr>
        <w:t xml:space="preserve">. </w:t>
      </w:r>
      <w:r w:rsidRPr="00DA787F">
        <w:rPr>
          <w:rFonts w:ascii="Aptos" w:hAnsi="Aptos"/>
          <w:b/>
          <w:bCs/>
          <w:i/>
          <w:iCs/>
          <w:sz w:val="20"/>
          <w:szCs w:val="20"/>
          <w:lang w:val="de-DE"/>
        </w:rPr>
        <w:t xml:space="preserve">Juni 2026 </w:t>
      </w:r>
      <w:r w:rsidRPr="00DA787F">
        <w:rPr>
          <w:rFonts w:ascii="Aptos" w:hAnsi="Aptos"/>
          <w:b/>
          <w:bCs/>
          <w:sz w:val="20"/>
          <w:szCs w:val="20"/>
          <w:lang w:val="de-DE"/>
        </w:rPr>
        <w:t>—</w:t>
      </w:r>
      <w:r w:rsidR="00CD42D9" w:rsidRPr="00DA787F">
        <w:rPr>
          <w:rFonts w:ascii="Aptos" w:hAnsi="Aptos"/>
          <w:b/>
          <w:bCs/>
          <w:sz w:val="20"/>
          <w:szCs w:val="20"/>
          <w:lang w:val="de-DE"/>
        </w:rPr>
        <w:t xml:space="preserve"> </w:t>
      </w:r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>Sennheiser</w:t>
      </w:r>
      <w:r w:rsidR="00127F89" w:rsidRPr="00DA787F">
        <w:rPr>
          <w:rFonts w:ascii="Aptos" w:hAnsi="Aptos"/>
          <w:b/>
          <w:bCs/>
          <w:sz w:val="20"/>
          <w:szCs w:val="20"/>
          <w:lang w:val="de-DE"/>
        </w:rPr>
        <w:t xml:space="preserve">, Hersteller </w:t>
      </w:r>
      <w:r w:rsidR="00506EA5" w:rsidRPr="00DA787F">
        <w:rPr>
          <w:rFonts w:ascii="Aptos" w:hAnsi="Aptos"/>
          <w:b/>
          <w:bCs/>
          <w:sz w:val="20"/>
          <w:szCs w:val="20"/>
          <w:lang w:val="de-DE"/>
        </w:rPr>
        <w:t>fortschrittlicher</w:t>
      </w:r>
      <w:r w:rsidR="00127F89" w:rsidRPr="00DA787F">
        <w:rPr>
          <w:rFonts w:ascii="Aptos" w:hAnsi="Aptos"/>
          <w:b/>
          <w:bCs/>
          <w:sz w:val="20"/>
          <w:szCs w:val="20"/>
          <w:lang w:val="de-DE"/>
        </w:rPr>
        <w:t xml:space="preserve"> </w:t>
      </w:r>
      <w:r w:rsidR="00CA32DB" w:rsidRPr="00DA787F">
        <w:rPr>
          <w:rFonts w:ascii="Aptos" w:hAnsi="Aptos"/>
          <w:b/>
          <w:bCs/>
          <w:sz w:val="20"/>
          <w:szCs w:val="20"/>
          <w:lang w:val="de-DE"/>
        </w:rPr>
        <w:t>Audiotechnologie für Arbeits- und Lernumgebungen,</w:t>
      </w:r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 xml:space="preserve"> stellt das </w:t>
      </w:r>
      <w:proofErr w:type="spellStart"/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>TeamConnect</w:t>
      </w:r>
      <w:proofErr w:type="spellEnd"/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 xml:space="preserve"> </w:t>
      </w:r>
      <w:proofErr w:type="spellStart"/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>Ceiling</w:t>
      </w:r>
      <w:proofErr w:type="spellEnd"/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 xml:space="preserve"> M Plus (TCC M Plus) vor. Das neue Deckenmikrofon lässt sich einfach bedienen und bereitstellen, liefert </w:t>
      </w:r>
      <w:r w:rsidR="00C45E48" w:rsidRPr="00DA787F">
        <w:rPr>
          <w:rFonts w:ascii="Aptos" w:hAnsi="Aptos"/>
          <w:b/>
          <w:bCs/>
          <w:sz w:val="20"/>
          <w:szCs w:val="20"/>
          <w:lang w:val="de-DE"/>
        </w:rPr>
        <w:t xml:space="preserve">zuverlässig </w:t>
      </w:r>
      <w:r w:rsidR="002124E5" w:rsidRPr="00DA787F">
        <w:rPr>
          <w:rFonts w:ascii="Aptos" w:hAnsi="Aptos"/>
          <w:b/>
          <w:bCs/>
          <w:sz w:val="20"/>
          <w:szCs w:val="20"/>
          <w:lang w:val="de-DE"/>
        </w:rPr>
        <w:t>klare Klangqualität und überträgt Sprache natürlich für alle Teilnehmer*innen im Raum.</w:t>
      </w:r>
    </w:p>
    <w:p w14:paraId="572035E1" w14:textId="77777777" w:rsidR="003845B7" w:rsidRPr="00DA787F" w:rsidRDefault="003845B7" w:rsidP="00AF2273">
      <w:pPr>
        <w:spacing w:line="360" w:lineRule="auto"/>
        <w:rPr>
          <w:rFonts w:ascii="Aptos" w:hAnsi="Aptos"/>
          <w:b/>
          <w:bCs/>
          <w:sz w:val="20"/>
          <w:szCs w:val="20"/>
          <w:lang w:val="de-DE"/>
        </w:rPr>
      </w:pPr>
    </w:p>
    <w:p w14:paraId="1337F9AE" w14:textId="435DC770" w:rsidR="00EE5AAF" w:rsidRPr="00DA787F" w:rsidRDefault="00EE5AAF" w:rsidP="00F36F38">
      <w:pPr>
        <w:spacing w:line="360" w:lineRule="auto"/>
        <w:rPr>
          <w:rFonts w:ascii="Aptos" w:hAnsi="Aptos"/>
          <w:sz w:val="20"/>
          <w:szCs w:val="20"/>
          <w:lang w:val="de-DE"/>
        </w:rPr>
      </w:pPr>
      <w:r w:rsidRPr="00DA787F">
        <w:rPr>
          <w:rFonts w:ascii="Aptos" w:hAnsi="Aptos"/>
          <w:sz w:val="20"/>
          <w:szCs w:val="20"/>
          <w:lang w:val="de-DE"/>
        </w:rPr>
        <w:t xml:space="preserve">Das TCC M Plus knüpft an den Erfolg des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TeamConnect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Ceiling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-Portfolios an und </w:t>
      </w:r>
      <w:r w:rsidR="00DB13BB" w:rsidRPr="00DA787F">
        <w:rPr>
          <w:rFonts w:ascii="Aptos" w:hAnsi="Aptos"/>
          <w:sz w:val="20"/>
          <w:szCs w:val="20"/>
          <w:lang w:val="de-DE"/>
        </w:rPr>
        <w:t xml:space="preserve">wird </w:t>
      </w:r>
      <w:r w:rsidRPr="00DA787F">
        <w:rPr>
          <w:rFonts w:ascii="Aptos" w:hAnsi="Aptos"/>
          <w:sz w:val="20"/>
          <w:szCs w:val="20"/>
          <w:lang w:val="de-DE"/>
        </w:rPr>
        <w:t xml:space="preserve">auf der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InfoComm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2026 vorgestellt. Es verbindet </w:t>
      </w:r>
      <w:r w:rsidR="00DB13BB" w:rsidRPr="00DA787F">
        <w:rPr>
          <w:rFonts w:ascii="Aptos" w:hAnsi="Aptos"/>
          <w:sz w:val="20"/>
          <w:szCs w:val="20"/>
          <w:lang w:val="de-DE"/>
        </w:rPr>
        <w:t xml:space="preserve">bemerkenswerte </w:t>
      </w:r>
      <w:r w:rsidRPr="00DA787F">
        <w:rPr>
          <w:rFonts w:ascii="Aptos" w:hAnsi="Aptos"/>
          <w:sz w:val="20"/>
          <w:szCs w:val="20"/>
          <w:lang w:val="de-DE"/>
        </w:rPr>
        <w:t>Sennheiser-Audioqualität mit neuen Funktionen, die Installation und Konfiguration vereinfachen und den Einsatz in skalierbaren AV-Umgebungen erleichtern.</w:t>
      </w:r>
    </w:p>
    <w:p w14:paraId="57B130AC" w14:textId="77777777" w:rsidR="00A14E6E" w:rsidRPr="00DA787F" w:rsidRDefault="00A14E6E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1DB1DB49" w14:textId="77777777" w:rsidR="00EE5AAF" w:rsidRPr="00DA787F" w:rsidRDefault="00EE5AAF" w:rsidP="5BCF46E1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  <w:proofErr w:type="spellStart"/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>PartnerLink</w:t>
      </w:r>
      <w:proofErr w:type="spellEnd"/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>: direkte Konfiguration innerhalb unterstützter Plattform-Workflows</w:t>
      </w:r>
    </w:p>
    <w:p w14:paraId="5318EDCA" w14:textId="666E23F4" w:rsidR="00EE5AAF" w:rsidRPr="00DA787F" w:rsidDel="0045021D" w:rsidRDefault="00EE5AAF" w:rsidP="5BCF46E1">
      <w:pPr>
        <w:pStyle w:val="paragraph"/>
        <w:spacing w:before="0" w:beforeAutospacing="0" w:after="0" w:afterAutospacing="0" w:line="360" w:lineRule="auto"/>
        <w:rPr>
          <w:rFonts w:ascii="Aptos" w:eastAsiaTheme="minorEastAsia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Zu den wichtigsten Neuerungen des TCC M Plus gehört </w:t>
      </w:r>
      <w:proofErr w:type="spellStart"/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PartnerLink</w:t>
      </w:r>
      <w:proofErr w:type="spellEnd"/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. Die neue Integrationsfunktion von Sennheiser vereinfacht die Konfiguration von Mikrofonen in führenden AV-Plattformen. Die erste Umsetzung entstand in enger technischer Zusammenarbeit mit Q-SYS™ und ermöglicht es, das TCC M Plus direkt über die Q-SYS Designer Software einzurichten. Audio- und Steuerungsfunktionen lassen sich dadurch in einer gemeinsamen Umgebung verwalten. Gleichzeitig wird die Integration mit nativen Q-SYS-Komponenten deutlich einfacher.</w:t>
      </w:r>
    </w:p>
    <w:p w14:paraId="4CD3572C" w14:textId="331E78F4" w:rsidR="00AF2273" w:rsidRPr="00DA787F" w:rsidRDefault="2B77EBF0" w:rsidP="003C39AE">
      <w:pPr>
        <w:pStyle w:val="paragraph"/>
        <w:spacing w:line="360" w:lineRule="auto"/>
        <w:rPr>
          <w:rFonts w:ascii="Aptos" w:eastAsiaTheme="minorEastAsia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„Unsere Zusammenarbeit mit Sennheiser zielt darauf ab, es Kund</w:t>
      </w:r>
      <w:r w:rsidR="0011043C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*inn</w:t>
      </w:r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en und Integratoren zu erleichtern, hochwertiges Audio in Q-SYS zu integrieren“, sagte Gary Evans, Director, </w:t>
      </w:r>
      <w:proofErr w:type="spellStart"/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Alliances</w:t>
      </w:r>
      <w:proofErr w:type="spellEnd"/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, QSC®.</w:t>
      </w:r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 </w:t>
      </w:r>
      <w:r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„</w:t>
      </w:r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Mit der Q-SYS-Erweiterung für Sennheiser </w:t>
      </w:r>
      <w:proofErr w:type="spellStart"/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PartnerLink</w:t>
      </w:r>
      <w:proofErr w:type="spellEnd"/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 </w:t>
      </w:r>
      <w:r w:rsidR="00623043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werden </w:t>
      </w:r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die Integration von Sennheiser-</w:t>
      </w:r>
      <w:r w:rsidR="00623043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 xml:space="preserve">Sound </w:t>
      </w:r>
      <w:r w:rsidR="006F3EB1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sowie zentralen Steuerungs- und Automatisierungsfunktionen deutlich vereinfacht. Gleichzeitig bleibt die volle Flexibilität der Q-SYS Full-Stack-AV-Plattform erhalten und sorgt für effiziente, skalierbare AV-Implementierungen.</w:t>
      </w:r>
      <w:r w:rsidR="00647410" w:rsidRPr="00DA787F">
        <w:rPr>
          <w:rFonts w:ascii="Aptos" w:eastAsiaTheme="minorEastAsia" w:hAnsi="Aptos" w:cstheme="minorBidi"/>
          <w:kern w:val="2"/>
          <w:sz w:val="20"/>
          <w:szCs w:val="20"/>
          <w:lang w:val="de-DE"/>
        </w:rPr>
        <w:t>“</w:t>
      </w:r>
    </w:p>
    <w:p w14:paraId="45497B26" w14:textId="5D3A757E" w:rsidR="00EE5AAF" w:rsidRPr="00DA787F" w:rsidRDefault="00EE5AAF" w:rsidP="003C39AE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  <w:r w:rsidRPr="00DA787F">
        <w:rPr>
          <w:rFonts w:ascii="Aptos" w:hAnsi="Aptos"/>
          <w:sz w:val="20"/>
          <w:szCs w:val="20"/>
          <w:lang w:val="de-DE"/>
        </w:rPr>
        <w:t xml:space="preserve">Sennheiser führt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PartnerLink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zunächst für Q-SYS-Umgebungen ein und erweitert die Funktion schrittweise auf weitere Plattformen. Gleichzeitig folgt das TCC M Plus weiterhin dem offenen Ökosystem-Ansatz von Sennheiser und bietet zuverlässige, validierte Integrationsmöglichkeiten innerhalb eines breiten Partnernetzwerks.</w:t>
      </w:r>
    </w:p>
    <w:p w14:paraId="0679FDF2" w14:textId="77777777" w:rsidR="00EC2ADA" w:rsidRPr="00DA787F" w:rsidRDefault="00EC2ADA" w:rsidP="00AF3B62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541AEDB8" w14:textId="77777777" w:rsidR="00C56678" w:rsidRDefault="00C56678" w:rsidP="00AF3B62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</w:p>
    <w:p w14:paraId="3A0EE44E" w14:textId="77777777" w:rsidR="00C56678" w:rsidRDefault="00C56678" w:rsidP="00AF3B62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</w:p>
    <w:p w14:paraId="1409B93D" w14:textId="281EA0E3" w:rsidR="007F1E16" w:rsidRPr="00DA787F" w:rsidRDefault="007F1E16" w:rsidP="00AF3B62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lastRenderedPageBreak/>
        <w:t>Flexibel in unterschiedlichen AV-Umgebungen einsetzbar</w:t>
      </w:r>
    </w:p>
    <w:p w14:paraId="7839ED7A" w14:textId="77777777" w:rsidR="007F1E16" w:rsidRPr="00DA787F" w:rsidRDefault="007F1E16" w:rsidP="007F1E16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  <w:r w:rsidRPr="00DA787F">
        <w:rPr>
          <w:rFonts w:ascii="Aptos" w:hAnsi="Aptos"/>
          <w:sz w:val="20"/>
          <w:szCs w:val="20"/>
          <w:lang w:val="de-DE"/>
        </w:rPr>
        <w:t xml:space="preserve">Über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PartnerLink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hinaus führt das TCC M Plus den bewährten Interoperabilitätsansatz von Sennheiser fort. Es unterstützt verschiedene Integrationswege für unterschiedliche Systemarchitekturen und Kundenanforderungen. Integratoren können Sennheiser-Mikrofone über etablierte Standards wie Dante sowie über verifizierte Schnittstellen einbinden. So entstehen konsistente Workflows über verschiedene Raumtypen und Plattformumgebungen hinweg.</w:t>
      </w:r>
    </w:p>
    <w:p w14:paraId="7CC77B46" w14:textId="77777777" w:rsidR="005B4FE7" w:rsidRPr="00DA787F" w:rsidRDefault="005B4FE7" w:rsidP="007F1E16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</w:p>
    <w:p w14:paraId="6DA38DB6" w14:textId="10650268" w:rsidR="007F1E16" w:rsidRPr="00DA787F" w:rsidRDefault="007F1E16" w:rsidP="00AF3B62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  <w:r w:rsidRPr="00DA787F">
        <w:rPr>
          <w:rFonts w:ascii="Aptos" w:hAnsi="Aptos"/>
          <w:sz w:val="20"/>
          <w:szCs w:val="20"/>
          <w:lang w:val="de-DE"/>
        </w:rPr>
        <w:t>Diese Flexibilität hilft Unternehmen, Sennheiser-Audio unternehmensweit zu standardisieren und gleichzeitig die Plattformen und Architekturen zu nutzen, die am besten zu ihren jeweiligen Anforderungen passen.</w:t>
      </w:r>
    </w:p>
    <w:p w14:paraId="362F52E6" w14:textId="77777777" w:rsidR="00AF3B62" w:rsidRPr="00DA787F" w:rsidRDefault="00AF3B62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</w:p>
    <w:p w14:paraId="19EA0AE6" w14:textId="32F66F89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>Für moderne Kollaborationsräume entwickelt</w:t>
      </w:r>
    </w:p>
    <w:p w14:paraId="01AAEABC" w14:textId="1E0A41DF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Hybride Arbeits- und Lernumgebungen entwickeln sich stetig weiter. Dadurch werden auch AV-Systeme stärker vernetzt und komplexer. Das TCC M Plus ist auf diese Anforderungen ausgelegt: Es verbindet hochwertige Audioleistung mit einer einfacheren Einrichtung, Inbetriebnahme und Verwaltung.</w:t>
      </w:r>
    </w:p>
    <w:p w14:paraId="18694AB2" w14:textId="77777777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5098D827" w14:textId="2F0C786E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 xml:space="preserve">Funktionen wie dynamisches </w:t>
      </w:r>
      <w:proofErr w:type="spellStart"/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Beamforming</w:t>
      </w:r>
      <w:proofErr w:type="spellEnd"/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 xml:space="preserve"> und erweiterte Ausschlusszonen sorgen für eine klare, natürliche Sprachübertragung. Das System passt sich flexibel an wechselnde Raumaufteilungen und unterschiedliche Positionen der Teilnehmer*innen an. So erfasst es jede Stimme präzise und überträgt sie ohne störende Nebengeräusche. Die erweiterten Ausschlusszonen erleichtern außerdem die Zonenkonfiguration, verbessern die gezielte Audioerfassung </w:t>
      </w:r>
      <w:proofErr w:type="gramStart"/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in komplexen Räumen und erhöhen</w:t>
      </w:r>
      <w:proofErr w:type="gramEnd"/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 xml:space="preserve"> die Zuverlässigkeit kamerabasierter Sprecherverfolgung.</w:t>
      </w:r>
    </w:p>
    <w:p w14:paraId="6E93BDBD" w14:textId="77777777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789C0C4D" w14:textId="77777777" w:rsidR="000607C5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Gleichzeitig senkt das TCC M Plus den Aufwand für Planung, Installation und Systemmanagement. Integratoren, AV-/IT-Teams und Endanwender</w:t>
      </w:r>
      <w:r w:rsidR="000607C5"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*innen</w:t>
      </w: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 xml:space="preserve"> profitieren dadurch von einem konsistenten und </w:t>
      </w:r>
    </w:p>
    <w:p w14:paraId="7E47B41B" w14:textId="38AC9AE1" w:rsidR="007F1E16" w:rsidRPr="00DA787F" w:rsidRDefault="007F1E16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planbaren Nutzererlebnis. Dank flexibler Installationsoptionen und eines Erfassungsbereichs für mittelgroße bis große Räume eignet sich die Lösung besonders für Besprechungsräume, Klassenzimmer und teilbare Raumkonzepte. Ein-Kabel-Konnektivität und zentrale Verwaltung erleichtern zudem den Rollout über mehrere Standorte hinweg. Unternehmen können ihre Audiolösungen dadurch effizient über mehrere Räume vereinheitlichen.</w:t>
      </w:r>
    </w:p>
    <w:p w14:paraId="3FAD23E4" w14:textId="77777777" w:rsidR="00AF2273" w:rsidRPr="00DA787F" w:rsidRDefault="00AF2273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7046B1ED" w14:textId="680719D0" w:rsidR="00AF2273" w:rsidRPr="00DA787F" w:rsidRDefault="00AF2273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 xml:space="preserve">Zentrale </w:t>
      </w:r>
      <w:r w:rsidR="001C158D"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 xml:space="preserve">Verwaltung </w:t>
      </w:r>
      <w:r w:rsidR="004446F7"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 xml:space="preserve">mit </w:t>
      </w:r>
      <w:proofErr w:type="spellStart"/>
      <w:r w:rsidR="001C158D"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>DeviceHub</w:t>
      </w:r>
      <w:proofErr w:type="spellEnd"/>
    </w:p>
    <w:p w14:paraId="6E25EA0B" w14:textId="79B7ECD9" w:rsidR="0005073E" w:rsidRPr="00DA787F" w:rsidRDefault="0005073E" w:rsidP="0005073E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  <w:r w:rsidRPr="00DA787F">
        <w:rPr>
          <w:rFonts w:ascii="Aptos" w:hAnsi="Aptos"/>
          <w:sz w:val="20"/>
          <w:szCs w:val="20"/>
          <w:lang w:val="de-DE"/>
        </w:rPr>
        <w:t xml:space="preserve">Das TCC M Plus lässt sich auch mit Sennheiser </w:t>
      </w:r>
      <w:proofErr w:type="spellStart"/>
      <w:r w:rsidRPr="00DA787F">
        <w:rPr>
          <w:rFonts w:ascii="Aptos" w:hAnsi="Aptos"/>
          <w:sz w:val="20"/>
          <w:szCs w:val="20"/>
          <w:lang w:val="de-DE"/>
        </w:rPr>
        <w:t>DeviceHub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verbinden. Die cloudbasierte Plattform vereinfacht das Gerätemanagement </w:t>
      </w:r>
      <w:r w:rsidR="009313A4" w:rsidRPr="00DA787F">
        <w:rPr>
          <w:rFonts w:ascii="Aptos" w:hAnsi="Aptos"/>
          <w:sz w:val="20"/>
          <w:szCs w:val="20"/>
          <w:lang w:val="de-DE"/>
        </w:rPr>
        <w:t>signifikant</w:t>
      </w:r>
      <w:r w:rsidRPr="00DA787F">
        <w:rPr>
          <w:rFonts w:ascii="Aptos" w:hAnsi="Aptos"/>
          <w:sz w:val="20"/>
          <w:szCs w:val="20"/>
          <w:lang w:val="de-DE"/>
        </w:rPr>
        <w:t xml:space="preserve"> und ermöglicht es Anwender*innen, das </w:t>
      </w:r>
      <w:r w:rsidR="009313A4" w:rsidRPr="00DA787F">
        <w:rPr>
          <w:rFonts w:ascii="Aptos" w:hAnsi="Aptos"/>
          <w:sz w:val="20"/>
          <w:szCs w:val="20"/>
          <w:lang w:val="de-DE"/>
        </w:rPr>
        <w:t xml:space="preserve">Deckenmikrofon </w:t>
      </w:r>
      <w:r w:rsidRPr="00DA787F">
        <w:rPr>
          <w:rFonts w:ascii="Aptos" w:hAnsi="Aptos"/>
          <w:sz w:val="20"/>
          <w:szCs w:val="20"/>
          <w:lang w:val="de-DE"/>
        </w:rPr>
        <w:t>direkt über den Browser zu konfigurieren und zu überwachen. Lokale Tools müssen dafür nicht installiert werden.</w:t>
      </w:r>
    </w:p>
    <w:p w14:paraId="72C6D34D" w14:textId="77777777" w:rsidR="005B4FE7" w:rsidRPr="00DA787F" w:rsidRDefault="005B4FE7" w:rsidP="0005073E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</w:p>
    <w:p w14:paraId="3F9095EB" w14:textId="77777777" w:rsidR="0005073E" w:rsidRPr="00DA787F" w:rsidRDefault="0005073E" w:rsidP="0005073E">
      <w:pPr>
        <w:pStyle w:val="paragraph"/>
        <w:spacing w:before="0" w:beforeAutospacing="0" w:after="0" w:afterAutospacing="0" w:line="360" w:lineRule="auto"/>
        <w:rPr>
          <w:rFonts w:ascii="Aptos" w:hAnsi="Aptos"/>
          <w:sz w:val="20"/>
          <w:szCs w:val="20"/>
          <w:lang w:val="de-DE"/>
        </w:rPr>
      </w:pPr>
      <w:proofErr w:type="spellStart"/>
      <w:r w:rsidRPr="00DA787F">
        <w:rPr>
          <w:rFonts w:ascii="Aptos" w:hAnsi="Aptos"/>
          <w:sz w:val="20"/>
          <w:szCs w:val="20"/>
          <w:lang w:val="de-DE"/>
        </w:rPr>
        <w:lastRenderedPageBreak/>
        <w:t>DeviceHub</w:t>
      </w:r>
      <w:proofErr w:type="spellEnd"/>
      <w:r w:rsidRPr="00DA787F">
        <w:rPr>
          <w:rFonts w:ascii="Aptos" w:hAnsi="Aptos"/>
          <w:sz w:val="20"/>
          <w:szCs w:val="20"/>
          <w:lang w:val="de-DE"/>
        </w:rPr>
        <w:t xml:space="preserve"> bietet eine zentrale Übersicht über Räume, Gebäude und Standorte hinweg. Funktionen für Fernüberwachung, Fernkonfiguration und Ferndiagnose erleichtern das Management großer AV-Umgebungen. Rollenbasierte Zugriffsrechte ermöglichen außerdem eine sichere Zusammenarbeit zwischen AV- und IT-Teams. So können Unternehmen wachsende AV-Implementierungen effizienter verwalten, den Betriebsaufwand senken und gleichzeitig eine konsistente Systemleistung sicherstellen.</w:t>
      </w:r>
    </w:p>
    <w:p w14:paraId="4D28411F" w14:textId="77777777" w:rsidR="00AF2273" w:rsidRPr="00DA787F" w:rsidRDefault="00AF2273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</w:p>
    <w:p w14:paraId="7E4C8040" w14:textId="3641952F" w:rsidR="0005073E" w:rsidRPr="00DA787F" w:rsidRDefault="0005073E" w:rsidP="0005073E">
      <w:pPr>
        <w:pStyle w:val="paragraph"/>
        <w:tabs>
          <w:tab w:val="left" w:pos="6190"/>
        </w:tabs>
        <w:spacing w:before="0" w:beforeAutospacing="0" w:after="0" w:afterAutospacing="0" w:line="360" w:lineRule="auto"/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b/>
          <w:bCs/>
          <w:kern w:val="2"/>
          <w:sz w:val="20"/>
          <w:szCs w:val="20"/>
          <w:lang w:val="de-DE"/>
        </w:rPr>
        <w:t>Für skalierbare und zukunftsfähige AV-Umgebungen</w:t>
      </w:r>
    </w:p>
    <w:p w14:paraId="44084924" w14:textId="3A68B658" w:rsidR="0005073E" w:rsidRPr="00DA787F" w:rsidRDefault="0005073E" w:rsidP="00AF2273">
      <w:pPr>
        <w:pStyle w:val="paragraph"/>
        <w:spacing w:before="0" w:beforeAutospacing="0" w:after="0" w:afterAutospacing="0" w:line="360" w:lineRule="auto"/>
        <w:rPr>
          <w:rFonts w:ascii="Aptos" w:eastAsiaTheme="minorHAnsi" w:hAnsi="Aptos" w:cstheme="minorBidi"/>
          <w:kern w:val="2"/>
          <w:sz w:val="20"/>
          <w:szCs w:val="20"/>
          <w:lang w:val="de-DE"/>
        </w:rPr>
      </w:pP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Das TCC M Plus richtet sich an Integratoren, AV-/IT-Manager</w:t>
      </w:r>
      <w:r w:rsidR="0023747F"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>*innen</w:t>
      </w:r>
      <w:r w:rsidRPr="00DA787F">
        <w:rPr>
          <w:rFonts w:ascii="Aptos" w:eastAsiaTheme="minorHAnsi" w:hAnsi="Aptos" w:cstheme="minorBidi"/>
          <w:kern w:val="2"/>
          <w:sz w:val="20"/>
          <w:szCs w:val="20"/>
          <w:lang w:val="de-DE"/>
        </w:rPr>
        <w:t xml:space="preserve"> und Unternehmen, die Collaboration-Lösungen im großen Maßstab ausrollen. Es vereinfacht Einrichtung und Inbetriebnahme, bietet flexible und zuverlässige Integrationsoptionen und unterstützt ein zentrales, cloudbasiertes Management. Dadurch ermöglicht das TCC M Plus konsistente, hochwertige Audioerlebnisse über Räume, Standorte und Plattformen hinweg – und reduziert gleichzeitig den Aufwand für Bereitstellung und Verwaltung in großen AV-Umgebungen.</w:t>
      </w:r>
    </w:p>
    <w:p w14:paraId="4C8C7917" w14:textId="77777777" w:rsidR="00151603" w:rsidRPr="00C56678" w:rsidRDefault="00151603" w:rsidP="00151603">
      <w:pPr>
        <w:pStyle w:val="paragraph"/>
        <w:spacing w:before="0" w:beforeAutospacing="0" w:after="0" w:afterAutospacing="0" w:line="360" w:lineRule="auto"/>
        <w:jc w:val="center"/>
        <w:rPr>
          <w:rFonts w:ascii="Aptos" w:hAnsi="Aptos"/>
          <w:b/>
          <w:bCs/>
          <w:sz w:val="18"/>
          <w:szCs w:val="18"/>
          <w:lang w:val="de-DE"/>
        </w:rPr>
      </w:pPr>
    </w:p>
    <w:p w14:paraId="01834371" w14:textId="27EB2357" w:rsidR="00A77333" w:rsidRPr="00C56678" w:rsidRDefault="00A77333" w:rsidP="00C56678">
      <w:pPr>
        <w:rPr>
          <w:rFonts w:ascii="Aptos" w:eastAsia="Sennheiser Office" w:hAnsi="Aptos" w:cs="Sennheiser Office"/>
          <w:b/>
          <w:bCs/>
          <w:color w:val="000000"/>
          <w:kern w:val="0"/>
          <w:sz w:val="18"/>
          <w:szCs w:val="18"/>
          <w:u w:color="000000"/>
          <w:bdr w:val="nil"/>
          <w:lang w:val="de-DE" w:eastAsia="en-GB"/>
        </w:rPr>
      </w:pPr>
      <w:r w:rsidRPr="00C56678">
        <w:rPr>
          <w:rFonts w:ascii="Aptos" w:hAnsi="Aptos"/>
          <w:b/>
          <w:bCs/>
          <w:sz w:val="18"/>
          <w:szCs w:val="18"/>
          <w:lang w:val="de-DE"/>
        </w:rPr>
        <w:t xml:space="preserve">Über die Marke Sennheiser – </w:t>
      </w:r>
      <w:r w:rsidR="0005073E" w:rsidRPr="00C56678">
        <w:rPr>
          <w:rFonts w:ascii="Aptos" w:eastAsia="Times New Roman" w:hAnsi="Aptos" w:cs="Segoe UI"/>
          <w:b/>
          <w:bCs/>
          <w:sz w:val="18"/>
          <w:szCs w:val="18"/>
          <w:lang w:val="de-DE"/>
        </w:rPr>
        <w:t>Mehr als 80 Jahre Zukunft der Audio-Welt</w:t>
      </w:r>
    </w:p>
    <w:p w14:paraId="5AEE152A" w14:textId="77777777" w:rsidR="00A77333" w:rsidRPr="00DA787F" w:rsidRDefault="00A77333" w:rsidP="00A77333">
      <w:pPr>
        <w:pStyle w:val="About"/>
        <w:rPr>
          <w:rFonts w:ascii="Aptos" w:hAnsi="Aptos"/>
          <w:b/>
          <w:bCs/>
          <w:lang w:val="de-DE"/>
        </w:rPr>
      </w:pPr>
    </w:p>
    <w:p w14:paraId="56807A09" w14:textId="77777777" w:rsidR="0005073E" w:rsidRPr="00DA787F" w:rsidRDefault="0005073E" w:rsidP="0005073E">
      <w:pPr>
        <w:textAlignment w:val="baseline"/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</w:pPr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 xml:space="preserve">Wir leben Audio. Wir atmen Audio. Immer und jederzeit. Diese Leidenschaft begleitet uns von den größten Bühnen der Welt bis in die leisesten </w:t>
      </w:r>
      <w:proofErr w:type="spellStart"/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>Hörräume</w:t>
      </w:r>
      <w:proofErr w:type="spellEnd"/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 xml:space="preserve"> – hier überzeugt Sennheiser mit Klang, den man nicht nur hören, sondern auch fühlen kann. Seit 1945 steht die Marke für die Zukunft der Audio-Welt und dafür, Menschen weltweit einzigartige Sound-Erlebnisse zu ermöglichen.</w:t>
      </w:r>
    </w:p>
    <w:p w14:paraId="19D693F2" w14:textId="77777777" w:rsidR="0005073E" w:rsidRPr="00DA787F" w:rsidRDefault="0005073E" w:rsidP="0005073E">
      <w:pPr>
        <w:textAlignment w:val="baseline"/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</w:pPr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 xml:space="preserve">Während professionelle Audiolösungen wie Mikrofone, Konferenzsysteme, Streaming-Technologien und Monitoring-Systeme zum Geschäft der Sennheiser electronic SE &amp; Co. KG gehören, wird das Geschäft mit Consumer-Produkten wie Kopfhörern, Soundbars und sprachoptimierten </w:t>
      </w:r>
      <w:proofErr w:type="spellStart"/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>Hearables</w:t>
      </w:r>
      <w:proofErr w:type="spellEnd"/>
      <w:r w:rsidRPr="00DA787F">
        <w:rPr>
          <w:rFonts w:ascii="Aptos" w:eastAsia="Sennheiser Office" w:hAnsi="Aptos" w:cs="Sennheiser Office"/>
          <w:color w:val="000000"/>
          <w:kern w:val="0"/>
          <w:sz w:val="18"/>
          <w:szCs w:val="18"/>
          <w:u w:color="000000"/>
          <w:bdr w:val="nil"/>
          <w:lang w:val="de-DE" w:eastAsia="en-GB"/>
        </w:rPr>
        <w:t xml:space="preserve"> von der Sonova Holding AG unter der Lizenz der Marke Sennheiser betrieben.</w:t>
      </w:r>
    </w:p>
    <w:p w14:paraId="4005CD55" w14:textId="77777777" w:rsidR="00D775D4" w:rsidRPr="00DA787F" w:rsidRDefault="00D775D4" w:rsidP="00D775D4">
      <w:pPr>
        <w:pStyle w:val="About"/>
        <w:rPr>
          <w:rFonts w:ascii="Aptos" w:hAnsi="Aptos"/>
          <w:lang w:val="de-DE"/>
        </w:rPr>
      </w:pPr>
    </w:p>
    <w:p w14:paraId="340F1DC3" w14:textId="77777777" w:rsidR="00A931FB" w:rsidRPr="00DA787F" w:rsidRDefault="00A931FB" w:rsidP="00A931FB">
      <w:pPr>
        <w:pStyle w:val="About"/>
        <w:rPr>
          <w:rFonts w:ascii="Aptos" w:hAnsi="Aptos"/>
          <w:color w:val="0095D5"/>
          <w:u w:color="0095D5"/>
          <w:lang w:val="de-DE"/>
        </w:rPr>
      </w:pPr>
      <w:hyperlink r:id="rId10" w:history="1">
        <w:r w:rsidRPr="00DA787F">
          <w:rPr>
            <w:rStyle w:val="Hyperlink1"/>
            <w:rFonts w:ascii="Aptos" w:hAnsi="Aptos"/>
            <w:lang w:val="de-DE"/>
          </w:rPr>
          <w:t>www.sennheiser.com</w:t>
        </w:r>
      </w:hyperlink>
    </w:p>
    <w:p w14:paraId="42F59FA6" w14:textId="77777777" w:rsidR="00A931FB" w:rsidRPr="00DA787F" w:rsidRDefault="00A931FB" w:rsidP="00A931FB">
      <w:pPr>
        <w:pStyle w:val="About"/>
        <w:rPr>
          <w:rFonts w:ascii="Aptos" w:hAnsi="Aptos"/>
          <w:lang w:val="de-DE"/>
        </w:rPr>
      </w:pPr>
      <w:hyperlink r:id="rId11">
        <w:r w:rsidRPr="00DA787F">
          <w:rPr>
            <w:rStyle w:val="Hyperlink1"/>
            <w:rFonts w:ascii="Aptos" w:hAnsi="Aptos"/>
            <w:lang w:val="de-DE"/>
          </w:rPr>
          <w:t>www.sennheiser-hearing.com</w:t>
        </w:r>
      </w:hyperlink>
    </w:p>
    <w:p w14:paraId="743574DA" w14:textId="77777777" w:rsidR="00125AA8" w:rsidRPr="00DA787F" w:rsidRDefault="00125AA8" w:rsidP="00A931FB">
      <w:pPr>
        <w:pStyle w:val="About"/>
        <w:rPr>
          <w:rFonts w:ascii="Aptos" w:hAnsi="Aptos"/>
          <w:lang w:val="de-DE"/>
        </w:rPr>
      </w:pPr>
    </w:p>
    <w:p w14:paraId="6094DD9E" w14:textId="77777777" w:rsidR="0005073E" w:rsidRPr="00DA787F" w:rsidRDefault="0005073E" w:rsidP="0005073E">
      <w:pPr>
        <w:pStyle w:val="About"/>
        <w:rPr>
          <w:rFonts w:ascii="Aptos" w:hAnsi="Aptos"/>
          <w:b/>
          <w:bCs/>
          <w:lang w:val="de-DE"/>
        </w:rPr>
      </w:pPr>
      <w:r w:rsidRPr="00DA787F">
        <w:rPr>
          <w:rFonts w:ascii="Aptos" w:hAnsi="Aptos"/>
          <w:b/>
          <w:bCs/>
          <w:lang w:val="de-DE"/>
        </w:rPr>
        <w:t xml:space="preserve">Pressekontakt DACH </w:t>
      </w:r>
    </w:p>
    <w:p w14:paraId="4A06E7FD" w14:textId="77777777" w:rsidR="0005073E" w:rsidRPr="00DA787F" w:rsidRDefault="0005073E" w:rsidP="0005073E">
      <w:pPr>
        <w:pStyle w:val="About"/>
        <w:rPr>
          <w:rFonts w:ascii="Aptos" w:hAnsi="Aptos"/>
          <w:lang w:val="de-DE"/>
        </w:rPr>
      </w:pPr>
      <w:r w:rsidRPr="00DA787F">
        <w:rPr>
          <w:rFonts w:ascii="Aptos" w:hAnsi="Aptos"/>
          <w:lang w:val="de-DE"/>
        </w:rPr>
        <w:t>Jacqueline Gusmag</w:t>
      </w:r>
    </w:p>
    <w:p w14:paraId="05FEBCD7" w14:textId="77777777" w:rsidR="0005073E" w:rsidRPr="00DA787F" w:rsidRDefault="0005073E" w:rsidP="0005073E">
      <w:pPr>
        <w:pStyle w:val="About"/>
        <w:rPr>
          <w:rFonts w:ascii="Aptos" w:hAnsi="Aptos"/>
          <w:lang w:val="de-DE"/>
        </w:rPr>
      </w:pPr>
      <w:r w:rsidRPr="00DA787F">
        <w:rPr>
          <w:rFonts w:ascii="Aptos" w:hAnsi="Aptos"/>
          <w:lang w:val="de-DE"/>
        </w:rPr>
        <w:t>+49 (0) 5130 600 – 1540</w:t>
      </w:r>
    </w:p>
    <w:p w14:paraId="189F351C" w14:textId="77777777" w:rsidR="0005073E" w:rsidRPr="00DA787F" w:rsidRDefault="0005073E" w:rsidP="0005073E">
      <w:pPr>
        <w:pStyle w:val="Contact"/>
        <w:rPr>
          <w:rFonts w:ascii="Aptos" w:hAnsi="Aptos"/>
          <w:color w:val="4472C4" w:themeColor="accent1"/>
          <w:sz w:val="18"/>
          <w:szCs w:val="18"/>
          <w:u w:val="single"/>
          <w:lang w:val="de-DE"/>
        </w:rPr>
      </w:pPr>
      <w:hyperlink r:id="rId12" w:history="1">
        <w:r w:rsidRPr="00DA787F">
          <w:rPr>
            <w:rStyle w:val="Hyperlink"/>
            <w:rFonts w:ascii="Aptos" w:hAnsi="Aptos"/>
            <w:color w:val="4472C4" w:themeColor="accent1"/>
            <w:sz w:val="18"/>
            <w:szCs w:val="18"/>
            <w:lang w:val="de-DE"/>
          </w:rPr>
          <w:t>jacqueline.gusmag@sennheiser.com</w:t>
        </w:r>
      </w:hyperlink>
      <w:r w:rsidRPr="00DA787F">
        <w:rPr>
          <w:rFonts w:ascii="Aptos" w:hAnsi="Aptos"/>
          <w:color w:val="4472C4" w:themeColor="accent1"/>
          <w:sz w:val="18"/>
          <w:szCs w:val="18"/>
          <w:u w:val="single"/>
          <w:lang w:val="de-DE"/>
        </w:rPr>
        <w:t xml:space="preserve"> </w:t>
      </w:r>
    </w:p>
    <w:p w14:paraId="3ACF642E" w14:textId="51205620" w:rsidR="00125AA8" w:rsidRPr="00DA787F" w:rsidRDefault="00125AA8" w:rsidP="0005073E">
      <w:pPr>
        <w:rPr>
          <w:rFonts w:ascii="Aptos" w:hAnsi="Aptos"/>
          <w:lang w:val="de-DE"/>
        </w:rPr>
      </w:pPr>
    </w:p>
    <w:sectPr w:rsidR="00125AA8" w:rsidRPr="00DA787F"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C074" w14:textId="77777777" w:rsidR="00A80597" w:rsidRDefault="00A80597">
      <w:r>
        <w:separator/>
      </w:r>
    </w:p>
  </w:endnote>
  <w:endnote w:type="continuationSeparator" w:id="0">
    <w:p w14:paraId="09355553" w14:textId="77777777" w:rsidR="00A80597" w:rsidRDefault="00A80597">
      <w:r>
        <w:continuationSeparator/>
      </w:r>
    </w:p>
  </w:endnote>
  <w:endnote w:type="continuationNotice" w:id="1">
    <w:p w14:paraId="3383ECE3" w14:textId="77777777" w:rsidR="00A80597" w:rsidRDefault="00A80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nnheiser Office">
    <w:altName w:val="Cambria"/>
    <w:charset w:val="00"/>
    <w:family w:val="swiss"/>
    <w:pitch w:val="variable"/>
    <w:sig w:usb0="A00000AF" w:usb1="500020D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uzeile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uzeile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5688" w14:textId="77777777" w:rsidR="00A80597" w:rsidRDefault="00A80597">
      <w:r>
        <w:separator/>
      </w:r>
    </w:p>
  </w:footnote>
  <w:footnote w:type="continuationSeparator" w:id="0">
    <w:p w14:paraId="341AF73F" w14:textId="77777777" w:rsidR="00A80597" w:rsidRDefault="00A80597">
      <w:r>
        <w:continuationSeparator/>
      </w:r>
    </w:p>
  </w:footnote>
  <w:footnote w:type="continuationNotice" w:id="1">
    <w:p w14:paraId="57CAF006" w14:textId="77777777" w:rsidR="00A80597" w:rsidRDefault="00A80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Pr="00DA787F" w:rsidRDefault="006745DA">
    <w:pPr>
      <w:pStyle w:val="Kopfzeile"/>
      <w:rPr>
        <w:rFonts w:ascii="Aptos" w:hAnsi="Aptos"/>
        <w:color w:val="0095D5"/>
        <w:u w:color="0095D5"/>
      </w:rPr>
    </w:pPr>
    <w:r w:rsidRPr="00DA787F">
      <w:rPr>
        <w:rFonts w:ascii="Aptos" w:hAnsi="Aptos"/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DA787F">
      <w:rPr>
        <w:rFonts w:ascii="Aptos" w:hAnsi="Aptos"/>
        <w:color w:val="0095D5"/>
        <w:u w:color="0095D5"/>
      </w:rPr>
      <w:t>Pressemitteilung</w:t>
    </w:r>
  </w:p>
  <w:p w14:paraId="6517BC88" w14:textId="77777777" w:rsidR="0040114C" w:rsidRDefault="006745DA">
    <w:pPr>
      <w:pStyle w:val="Kopfzeil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 w:rsidRPr="00DA787F">
      <w:rPr>
        <w:rFonts w:ascii="Aptos" w:hAnsi="Aptos"/>
      </w:rPr>
      <w:fldChar w:fldCharType="begin"/>
    </w:r>
    <w:r w:rsidRPr="00DA787F">
      <w:rPr>
        <w:rFonts w:ascii="Aptos" w:hAnsi="Aptos"/>
      </w:rPr>
      <w:instrText>NUMPAGES</w:instrText>
    </w:r>
    <w:r w:rsidRPr="00DA787F">
      <w:rPr>
        <w:rFonts w:ascii="Aptos" w:hAnsi="Aptos"/>
      </w:rPr>
      <w:fldChar w:fldCharType="separate"/>
    </w:r>
    <w:r w:rsidRPr="00DA787F">
      <w:rPr>
        <w:rFonts w:ascii="Aptos" w:hAnsi="Aptos"/>
        <w:noProof/>
      </w:rPr>
      <w:t>2</w:t>
    </w:r>
    <w:r w:rsidRPr="00DA787F">
      <w:rPr>
        <w:rFonts w:ascii="Aptos" w:hAnsi="Apto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Kopfzeile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Pressemitteilung</w:t>
    </w:r>
  </w:p>
  <w:p w14:paraId="3C4835DB" w14:textId="77777777" w:rsidR="0040114C" w:rsidRDefault="006745DA">
    <w:pPr>
      <w:pStyle w:val="Kopfzeile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A08"/>
    <w:multiLevelType w:val="multilevel"/>
    <w:tmpl w:val="89CC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6502"/>
    <w:multiLevelType w:val="multilevel"/>
    <w:tmpl w:val="903C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33720"/>
    <w:multiLevelType w:val="multilevel"/>
    <w:tmpl w:val="F994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C681D"/>
    <w:multiLevelType w:val="multilevel"/>
    <w:tmpl w:val="C48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A4B9E"/>
    <w:multiLevelType w:val="hybridMultilevel"/>
    <w:tmpl w:val="77FC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6B9B"/>
    <w:multiLevelType w:val="multilevel"/>
    <w:tmpl w:val="D1C2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0616C"/>
    <w:multiLevelType w:val="hybridMultilevel"/>
    <w:tmpl w:val="664E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C49A0"/>
    <w:multiLevelType w:val="hybridMultilevel"/>
    <w:tmpl w:val="68EC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7713C"/>
    <w:multiLevelType w:val="multilevel"/>
    <w:tmpl w:val="B30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124B61"/>
    <w:multiLevelType w:val="multilevel"/>
    <w:tmpl w:val="2EDC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D0039"/>
    <w:multiLevelType w:val="multilevel"/>
    <w:tmpl w:val="770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334814">
    <w:abstractNumId w:val="3"/>
  </w:num>
  <w:num w:numId="2" w16cid:durableId="1135561428">
    <w:abstractNumId w:val="5"/>
  </w:num>
  <w:num w:numId="3" w16cid:durableId="597447354">
    <w:abstractNumId w:val="9"/>
  </w:num>
  <w:num w:numId="4" w16cid:durableId="2042244457">
    <w:abstractNumId w:val="10"/>
  </w:num>
  <w:num w:numId="5" w16cid:durableId="1572497658">
    <w:abstractNumId w:val="8"/>
  </w:num>
  <w:num w:numId="6" w16cid:durableId="1876431476">
    <w:abstractNumId w:val="1"/>
  </w:num>
  <w:num w:numId="7" w16cid:durableId="690229749">
    <w:abstractNumId w:val="2"/>
  </w:num>
  <w:num w:numId="8" w16cid:durableId="131559715">
    <w:abstractNumId w:val="0"/>
  </w:num>
  <w:num w:numId="9" w16cid:durableId="1171870002">
    <w:abstractNumId w:val="6"/>
  </w:num>
  <w:num w:numId="10" w16cid:durableId="1037512028">
    <w:abstractNumId w:val="7"/>
  </w:num>
  <w:num w:numId="11" w16cid:durableId="270825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1D9"/>
    <w:rsid w:val="00003416"/>
    <w:rsid w:val="0000456E"/>
    <w:rsid w:val="0000493B"/>
    <w:rsid w:val="00006E1A"/>
    <w:rsid w:val="0000760D"/>
    <w:rsid w:val="00010977"/>
    <w:rsid w:val="00011DD5"/>
    <w:rsid w:val="000133B5"/>
    <w:rsid w:val="00015ED3"/>
    <w:rsid w:val="0001734E"/>
    <w:rsid w:val="000224E0"/>
    <w:rsid w:val="00022AE3"/>
    <w:rsid w:val="00022D82"/>
    <w:rsid w:val="0003252E"/>
    <w:rsid w:val="00032A4E"/>
    <w:rsid w:val="00033AC9"/>
    <w:rsid w:val="00035B33"/>
    <w:rsid w:val="00037813"/>
    <w:rsid w:val="0004155C"/>
    <w:rsid w:val="000436FA"/>
    <w:rsid w:val="0004373D"/>
    <w:rsid w:val="0004493C"/>
    <w:rsid w:val="000452DE"/>
    <w:rsid w:val="0004759E"/>
    <w:rsid w:val="0004770C"/>
    <w:rsid w:val="0005073E"/>
    <w:rsid w:val="00051689"/>
    <w:rsid w:val="000524C8"/>
    <w:rsid w:val="000544B8"/>
    <w:rsid w:val="00055CF2"/>
    <w:rsid w:val="0006049E"/>
    <w:rsid w:val="000607C5"/>
    <w:rsid w:val="00063D26"/>
    <w:rsid w:val="00066639"/>
    <w:rsid w:val="00066F31"/>
    <w:rsid w:val="00071650"/>
    <w:rsid w:val="00073B73"/>
    <w:rsid w:val="00074B5C"/>
    <w:rsid w:val="00077803"/>
    <w:rsid w:val="00082809"/>
    <w:rsid w:val="000903AA"/>
    <w:rsid w:val="0009359C"/>
    <w:rsid w:val="00096E2F"/>
    <w:rsid w:val="000A017A"/>
    <w:rsid w:val="000A2B6C"/>
    <w:rsid w:val="000A4483"/>
    <w:rsid w:val="000A616A"/>
    <w:rsid w:val="000A7059"/>
    <w:rsid w:val="000B2A2C"/>
    <w:rsid w:val="000B3073"/>
    <w:rsid w:val="000B5299"/>
    <w:rsid w:val="000B5ABB"/>
    <w:rsid w:val="000B5E71"/>
    <w:rsid w:val="000B72A2"/>
    <w:rsid w:val="000C17BD"/>
    <w:rsid w:val="000C4322"/>
    <w:rsid w:val="000C61E2"/>
    <w:rsid w:val="000C6F64"/>
    <w:rsid w:val="000D59B8"/>
    <w:rsid w:val="000D65B0"/>
    <w:rsid w:val="000D74DE"/>
    <w:rsid w:val="000D7ED8"/>
    <w:rsid w:val="000D7F06"/>
    <w:rsid w:val="000E00A2"/>
    <w:rsid w:val="000E1B28"/>
    <w:rsid w:val="000E23AA"/>
    <w:rsid w:val="000E2655"/>
    <w:rsid w:val="000E2B82"/>
    <w:rsid w:val="000E47F8"/>
    <w:rsid w:val="000E6F58"/>
    <w:rsid w:val="000E6FA3"/>
    <w:rsid w:val="000E73F9"/>
    <w:rsid w:val="000F158D"/>
    <w:rsid w:val="000F36B2"/>
    <w:rsid w:val="000F3746"/>
    <w:rsid w:val="000F6D5B"/>
    <w:rsid w:val="000F6D86"/>
    <w:rsid w:val="00104E11"/>
    <w:rsid w:val="00106FC9"/>
    <w:rsid w:val="001078E8"/>
    <w:rsid w:val="0011043C"/>
    <w:rsid w:val="0011096F"/>
    <w:rsid w:val="0011392D"/>
    <w:rsid w:val="00113E2C"/>
    <w:rsid w:val="00120874"/>
    <w:rsid w:val="00120A2C"/>
    <w:rsid w:val="00120B5B"/>
    <w:rsid w:val="001222AF"/>
    <w:rsid w:val="001223B9"/>
    <w:rsid w:val="00122537"/>
    <w:rsid w:val="00122B79"/>
    <w:rsid w:val="00123A89"/>
    <w:rsid w:val="00125AA8"/>
    <w:rsid w:val="00127F89"/>
    <w:rsid w:val="00131555"/>
    <w:rsid w:val="0013198C"/>
    <w:rsid w:val="00131AA1"/>
    <w:rsid w:val="00132DB0"/>
    <w:rsid w:val="0013374A"/>
    <w:rsid w:val="00133C67"/>
    <w:rsid w:val="00133D81"/>
    <w:rsid w:val="00134F4A"/>
    <w:rsid w:val="00137C6D"/>
    <w:rsid w:val="00141EB0"/>
    <w:rsid w:val="00141F1A"/>
    <w:rsid w:val="001422BB"/>
    <w:rsid w:val="00151603"/>
    <w:rsid w:val="001528BB"/>
    <w:rsid w:val="00160034"/>
    <w:rsid w:val="00160544"/>
    <w:rsid w:val="00163E16"/>
    <w:rsid w:val="00166691"/>
    <w:rsid w:val="001724F5"/>
    <w:rsid w:val="00172F54"/>
    <w:rsid w:val="001761B8"/>
    <w:rsid w:val="00176ADC"/>
    <w:rsid w:val="00176D89"/>
    <w:rsid w:val="001775E6"/>
    <w:rsid w:val="001778EA"/>
    <w:rsid w:val="001800F0"/>
    <w:rsid w:val="001802AA"/>
    <w:rsid w:val="00182268"/>
    <w:rsid w:val="001858A4"/>
    <w:rsid w:val="0019028F"/>
    <w:rsid w:val="00190949"/>
    <w:rsid w:val="0019210F"/>
    <w:rsid w:val="001954A2"/>
    <w:rsid w:val="001A0B96"/>
    <w:rsid w:val="001A1DD0"/>
    <w:rsid w:val="001A201D"/>
    <w:rsid w:val="001A3670"/>
    <w:rsid w:val="001A36BA"/>
    <w:rsid w:val="001A462C"/>
    <w:rsid w:val="001A464E"/>
    <w:rsid w:val="001A4AF0"/>
    <w:rsid w:val="001A78A8"/>
    <w:rsid w:val="001C158D"/>
    <w:rsid w:val="001C3BFB"/>
    <w:rsid w:val="001C5DF7"/>
    <w:rsid w:val="001C6412"/>
    <w:rsid w:val="001D2476"/>
    <w:rsid w:val="001D3257"/>
    <w:rsid w:val="001D453C"/>
    <w:rsid w:val="001E067D"/>
    <w:rsid w:val="001E1247"/>
    <w:rsid w:val="001E13E9"/>
    <w:rsid w:val="001E1782"/>
    <w:rsid w:val="001E1D10"/>
    <w:rsid w:val="001E1F7C"/>
    <w:rsid w:val="001E543F"/>
    <w:rsid w:val="001E6151"/>
    <w:rsid w:val="001E78C1"/>
    <w:rsid w:val="001F0AC0"/>
    <w:rsid w:val="001F38D8"/>
    <w:rsid w:val="001F5F07"/>
    <w:rsid w:val="001F70C9"/>
    <w:rsid w:val="001F7217"/>
    <w:rsid w:val="001F7569"/>
    <w:rsid w:val="00201202"/>
    <w:rsid w:val="002018DB"/>
    <w:rsid w:val="00203C59"/>
    <w:rsid w:val="00205EC1"/>
    <w:rsid w:val="00207936"/>
    <w:rsid w:val="00210D47"/>
    <w:rsid w:val="00210EAD"/>
    <w:rsid w:val="0021108C"/>
    <w:rsid w:val="002124E5"/>
    <w:rsid w:val="00215F12"/>
    <w:rsid w:val="00217FD2"/>
    <w:rsid w:val="002210BC"/>
    <w:rsid w:val="002218E6"/>
    <w:rsid w:val="002226E4"/>
    <w:rsid w:val="00223B8D"/>
    <w:rsid w:val="002264B0"/>
    <w:rsid w:val="00233A33"/>
    <w:rsid w:val="00235F47"/>
    <w:rsid w:val="00236A69"/>
    <w:rsid w:val="0023747F"/>
    <w:rsid w:val="0023758B"/>
    <w:rsid w:val="00241C97"/>
    <w:rsid w:val="002424D4"/>
    <w:rsid w:val="0024715F"/>
    <w:rsid w:val="0025181B"/>
    <w:rsid w:val="0025274A"/>
    <w:rsid w:val="00253457"/>
    <w:rsid w:val="002538F0"/>
    <w:rsid w:val="00254128"/>
    <w:rsid w:val="00255CBB"/>
    <w:rsid w:val="0025702C"/>
    <w:rsid w:val="00261996"/>
    <w:rsid w:val="00262575"/>
    <w:rsid w:val="00264C9C"/>
    <w:rsid w:val="002651EB"/>
    <w:rsid w:val="00266A3D"/>
    <w:rsid w:val="0026775D"/>
    <w:rsid w:val="002715B6"/>
    <w:rsid w:val="00271781"/>
    <w:rsid w:val="002725DC"/>
    <w:rsid w:val="002742ED"/>
    <w:rsid w:val="0028045D"/>
    <w:rsid w:val="00281846"/>
    <w:rsid w:val="002819D5"/>
    <w:rsid w:val="00284294"/>
    <w:rsid w:val="00284E4B"/>
    <w:rsid w:val="00285354"/>
    <w:rsid w:val="002921EE"/>
    <w:rsid w:val="00294991"/>
    <w:rsid w:val="002A04F1"/>
    <w:rsid w:val="002A1D73"/>
    <w:rsid w:val="002B198E"/>
    <w:rsid w:val="002C0268"/>
    <w:rsid w:val="002C053C"/>
    <w:rsid w:val="002C2128"/>
    <w:rsid w:val="002C2365"/>
    <w:rsid w:val="002C24CC"/>
    <w:rsid w:val="002C37B2"/>
    <w:rsid w:val="002C4032"/>
    <w:rsid w:val="002C7B1B"/>
    <w:rsid w:val="002D1BEF"/>
    <w:rsid w:val="002D33F4"/>
    <w:rsid w:val="002D68B5"/>
    <w:rsid w:val="002E0E6F"/>
    <w:rsid w:val="002E3539"/>
    <w:rsid w:val="002E6629"/>
    <w:rsid w:val="002F3DD5"/>
    <w:rsid w:val="002F42E5"/>
    <w:rsid w:val="002F4938"/>
    <w:rsid w:val="002F6E44"/>
    <w:rsid w:val="002F7485"/>
    <w:rsid w:val="00301D70"/>
    <w:rsid w:val="0030398B"/>
    <w:rsid w:val="003040A8"/>
    <w:rsid w:val="003125D4"/>
    <w:rsid w:val="00312696"/>
    <w:rsid w:val="0031569B"/>
    <w:rsid w:val="003166F3"/>
    <w:rsid w:val="003172A2"/>
    <w:rsid w:val="00317F51"/>
    <w:rsid w:val="00322B57"/>
    <w:rsid w:val="00322D45"/>
    <w:rsid w:val="00323FD9"/>
    <w:rsid w:val="0033005F"/>
    <w:rsid w:val="00330847"/>
    <w:rsid w:val="00336199"/>
    <w:rsid w:val="00337413"/>
    <w:rsid w:val="00342845"/>
    <w:rsid w:val="00342B68"/>
    <w:rsid w:val="0034334E"/>
    <w:rsid w:val="003448F9"/>
    <w:rsid w:val="00345768"/>
    <w:rsid w:val="0034717D"/>
    <w:rsid w:val="003511D2"/>
    <w:rsid w:val="00351CA8"/>
    <w:rsid w:val="00352EB4"/>
    <w:rsid w:val="00352F2B"/>
    <w:rsid w:val="00354D8B"/>
    <w:rsid w:val="0035607B"/>
    <w:rsid w:val="00361D81"/>
    <w:rsid w:val="003647AB"/>
    <w:rsid w:val="00370BBF"/>
    <w:rsid w:val="003715B1"/>
    <w:rsid w:val="00371A87"/>
    <w:rsid w:val="0037316A"/>
    <w:rsid w:val="00373599"/>
    <w:rsid w:val="003761F9"/>
    <w:rsid w:val="0038032B"/>
    <w:rsid w:val="00380A39"/>
    <w:rsid w:val="003836FD"/>
    <w:rsid w:val="00383CC7"/>
    <w:rsid w:val="003845B7"/>
    <w:rsid w:val="003848BC"/>
    <w:rsid w:val="00385057"/>
    <w:rsid w:val="0038700E"/>
    <w:rsid w:val="003916BA"/>
    <w:rsid w:val="00393E3D"/>
    <w:rsid w:val="00393FFF"/>
    <w:rsid w:val="0039427A"/>
    <w:rsid w:val="00395CAB"/>
    <w:rsid w:val="00396DE5"/>
    <w:rsid w:val="0039732F"/>
    <w:rsid w:val="003A5BC0"/>
    <w:rsid w:val="003A5E57"/>
    <w:rsid w:val="003A63CE"/>
    <w:rsid w:val="003A7F1B"/>
    <w:rsid w:val="003B3A1B"/>
    <w:rsid w:val="003B4F08"/>
    <w:rsid w:val="003B521F"/>
    <w:rsid w:val="003B6589"/>
    <w:rsid w:val="003C14F9"/>
    <w:rsid w:val="003C2341"/>
    <w:rsid w:val="003C38CD"/>
    <w:rsid w:val="003C39AE"/>
    <w:rsid w:val="003C3D8F"/>
    <w:rsid w:val="003C4BC3"/>
    <w:rsid w:val="003C502E"/>
    <w:rsid w:val="003C50E6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E26D1"/>
    <w:rsid w:val="003E3F0B"/>
    <w:rsid w:val="003E5DB4"/>
    <w:rsid w:val="003F023B"/>
    <w:rsid w:val="003F0481"/>
    <w:rsid w:val="003F246D"/>
    <w:rsid w:val="003F72AE"/>
    <w:rsid w:val="003F741D"/>
    <w:rsid w:val="00400F2E"/>
    <w:rsid w:val="0040114C"/>
    <w:rsid w:val="00401278"/>
    <w:rsid w:val="00401C17"/>
    <w:rsid w:val="004051A6"/>
    <w:rsid w:val="00411C79"/>
    <w:rsid w:val="00415D62"/>
    <w:rsid w:val="00421FEF"/>
    <w:rsid w:val="00422B05"/>
    <w:rsid w:val="004234AD"/>
    <w:rsid w:val="00427DF7"/>
    <w:rsid w:val="00430093"/>
    <w:rsid w:val="00430C91"/>
    <w:rsid w:val="004323AD"/>
    <w:rsid w:val="00432CD5"/>
    <w:rsid w:val="00433792"/>
    <w:rsid w:val="00436CB9"/>
    <w:rsid w:val="00437445"/>
    <w:rsid w:val="004415C0"/>
    <w:rsid w:val="0044284E"/>
    <w:rsid w:val="004446F7"/>
    <w:rsid w:val="00446512"/>
    <w:rsid w:val="0045021D"/>
    <w:rsid w:val="0045277A"/>
    <w:rsid w:val="0045287D"/>
    <w:rsid w:val="0045476D"/>
    <w:rsid w:val="004547D7"/>
    <w:rsid w:val="004557DD"/>
    <w:rsid w:val="00456C14"/>
    <w:rsid w:val="004575AB"/>
    <w:rsid w:val="00457DAF"/>
    <w:rsid w:val="00464D66"/>
    <w:rsid w:val="00466B83"/>
    <w:rsid w:val="0047112F"/>
    <w:rsid w:val="00474DBA"/>
    <w:rsid w:val="00475C0A"/>
    <w:rsid w:val="00477CA0"/>
    <w:rsid w:val="0048228A"/>
    <w:rsid w:val="00483021"/>
    <w:rsid w:val="004838E9"/>
    <w:rsid w:val="004847A2"/>
    <w:rsid w:val="00485533"/>
    <w:rsid w:val="0048716C"/>
    <w:rsid w:val="00487778"/>
    <w:rsid w:val="004905A5"/>
    <w:rsid w:val="004929E2"/>
    <w:rsid w:val="00492E16"/>
    <w:rsid w:val="004932E8"/>
    <w:rsid w:val="00497880"/>
    <w:rsid w:val="004A034D"/>
    <w:rsid w:val="004A1ADC"/>
    <w:rsid w:val="004A3853"/>
    <w:rsid w:val="004A4EC1"/>
    <w:rsid w:val="004A51B1"/>
    <w:rsid w:val="004A5849"/>
    <w:rsid w:val="004A7928"/>
    <w:rsid w:val="004A79AF"/>
    <w:rsid w:val="004B118A"/>
    <w:rsid w:val="004B14C6"/>
    <w:rsid w:val="004B152C"/>
    <w:rsid w:val="004B20EE"/>
    <w:rsid w:val="004B2752"/>
    <w:rsid w:val="004B6667"/>
    <w:rsid w:val="004B71A3"/>
    <w:rsid w:val="004C0CC9"/>
    <w:rsid w:val="004C561C"/>
    <w:rsid w:val="004C6020"/>
    <w:rsid w:val="004D28BF"/>
    <w:rsid w:val="004D461E"/>
    <w:rsid w:val="004D5744"/>
    <w:rsid w:val="004D67FD"/>
    <w:rsid w:val="004D7854"/>
    <w:rsid w:val="004E3576"/>
    <w:rsid w:val="004E45A1"/>
    <w:rsid w:val="004F03D1"/>
    <w:rsid w:val="004F03D5"/>
    <w:rsid w:val="004F0DA6"/>
    <w:rsid w:val="004F0E56"/>
    <w:rsid w:val="004F213A"/>
    <w:rsid w:val="004F29DF"/>
    <w:rsid w:val="004F2FDE"/>
    <w:rsid w:val="004F5CCB"/>
    <w:rsid w:val="005016FD"/>
    <w:rsid w:val="00502B69"/>
    <w:rsid w:val="005032DB"/>
    <w:rsid w:val="00505F49"/>
    <w:rsid w:val="00506EA5"/>
    <w:rsid w:val="00507622"/>
    <w:rsid w:val="00511A24"/>
    <w:rsid w:val="0051764C"/>
    <w:rsid w:val="00517745"/>
    <w:rsid w:val="0052053E"/>
    <w:rsid w:val="0052140B"/>
    <w:rsid w:val="0052156C"/>
    <w:rsid w:val="00524B4F"/>
    <w:rsid w:val="00527E98"/>
    <w:rsid w:val="00531830"/>
    <w:rsid w:val="00531EE6"/>
    <w:rsid w:val="00533442"/>
    <w:rsid w:val="00535B13"/>
    <w:rsid w:val="00537BBB"/>
    <w:rsid w:val="00540A04"/>
    <w:rsid w:val="0054550E"/>
    <w:rsid w:val="00545B2F"/>
    <w:rsid w:val="00545D9A"/>
    <w:rsid w:val="005462BB"/>
    <w:rsid w:val="00553DF7"/>
    <w:rsid w:val="00554052"/>
    <w:rsid w:val="005543BB"/>
    <w:rsid w:val="00554BE3"/>
    <w:rsid w:val="00556E00"/>
    <w:rsid w:val="00561E5E"/>
    <w:rsid w:val="00561E98"/>
    <w:rsid w:val="00562B05"/>
    <w:rsid w:val="00562FC5"/>
    <w:rsid w:val="00564694"/>
    <w:rsid w:val="00565726"/>
    <w:rsid w:val="00571685"/>
    <w:rsid w:val="00572629"/>
    <w:rsid w:val="00572EAF"/>
    <w:rsid w:val="00573C3D"/>
    <w:rsid w:val="00576140"/>
    <w:rsid w:val="005778CB"/>
    <w:rsid w:val="00582C03"/>
    <w:rsid w:val="00584752"/>
    <w:rsid w:val="00585338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4FE7"/>
    <w:rsid w:val="005B77C9"/>
    <w:rsid w:val="005BCA80"/>
    <w:rsid w:val="005C0A26"/>
    <w:rsid w:val="005C124B"/>
    <w:rsid w:val="005C5AAE"/>
    <w:rsid w:val="005C6088"/>
    <w:rsid w:val="005C7FFB"/>
    <w:rsid w:val="005D2C73"/>
    <w:rsid w:val="005D597D"/>
    <w:rsid w:val="005D704A"/>
    <w:rsid w:val="005E2DFA"/>
    <w:rsid w:val="005E2E9B"/>
    <w:rsid w:val="005E63F5"/>
    <w:rsid w:val="005E6C58"/>
    <w:rsid w:val="005E7B7C"/>
    <w:rsid w:val="005F039E"/>
    <w:rsid w:val="005F086E"/>
    <w:rsid w:val="005F2149"/>
    <w:rsid w:val="005F373F"/>
    <w:rsid w:val="005F3C4F"/>
    <w:rsid w:val="005F4603"/>
    <w:rsid w:val="005F5582"/>
    <w:rsid w:val="005F71D2"/>
    <w:rsid w:val="006039B5"/>
    <w:rsid w:val="006047C2"/>
    <w:rsid w:val="00606E1C"/>
    <w:rsid w:val="00607D66"/>
    <w:rsid w:val="00612924"/>
    <w:rsid w:val="0061679D"/>
    <w:rsid w:val="00622874"/>
    <w:rsid w:val="00623043"/>
    <w:rsid w:val="00623D21"/>
    <w:rsid w:val="006274C0"/>
    <w:rsid w:val="00627861"/>
    <w:rsid w:val="00627CBD"/>
    <w:rsid w:val="00631655"/>
    <w:rsid w:val="00636A04"/>
    <w:rsid w:val="00640AF4"/>
    <w:rsid w:val="00641A30"/>
    <w:rsid w:val="0064358C"/>
    <w:rsid w:val="00646A48"/>
    <w:rsid w:val="00647410"/>
    <w:rsid w:val="00647CFB"/>
    <w:rsid w:val="00654650"/>
    <w:rsid w:val="00655911"/>
    <w:rsid w:val="006560BF"/>
    <w:rsid w:val="006607CF"/>
    <w:rsid w:val="006615A6"/>
    <w:rsid w:val="00662B64"/>
    <w:rsid w:val="0066367B"/>
    <w:rsid w:val="0066439E"/>
    <w:rsid w:val="006644EA"/>
    <w:rsid w:val="00665C07"/>
    <w:rsid w:val="00666525"/>
    <w:rsid w:val="00666ED1"/>
    <w:rsid w:val="006745DA"/>
    <w:rsid w:val="00674E40"/>
    <w:rsid w:val="00677B75"/>
    <w:rsid w:val="006806EC"/>
    <w:rsid w:val="00680863"/>
    <w:rsid w:val="00685489"/>
    <w:rsid w:val="00687901"/>
    <w:rsid w:val="0069029E"/>
    <w:rsid w:val="006908CB"/>
    <w:rsid w:val="00692112"/>
    <w:rsid w:val="0069440E"/>
    <w:rsid w:val="00695767"/>
    <w:rsid w:val="00695A00"/>
    <w:rsid w:val="00696646"/>
    <w:rsid w:val="006974D9"/>
    <w:rsid w:val="006A0045"/>
    <w:rsid w:val="006A2973"/>
    <w:rsid w:val="006A2AC8"/>
    <w:rsid w:val="006A2AD8"/>
    <w:rsid w:val="006A3FC7"/>
    <w:rsid w:val="006A5844"/>
    <w:rsid w:val="006A5B0C"/>
    <w:rsid w:val="006A6BA6"/>
    <w:rsid w:val="006B0E50"/>
    <w:rsid w:val="006B32A4"/>
    <w:rsid w:val="006B4182"/>
    <w:rsid w:val="006B6F1C"/>
    <w:rsid w:val="006B74CC"/>
    <w:rsid w:val="006C4DD0"/>
    <w:rsid w:val="006C58DB"/>
    <w:rsid w:val="006C7CF9"/>
    <w:rsid w:val="006C7D0E"/>
    <w:rsid w:val="006C7D4A"/>
    <w:rsid w:val="006D512C"/>
    <w:rsid w:val="006D6EBF"/>
    <w:rsid w:val="006E0438"/>
    <w:rsid w:val="006E0F3B"/>
    <w:rsid w:val="006E356E"/>
    <w:rsid w:val="006E6AA2"/>
    <w:rsid w:val="006F0392"/>
    <w:rsid w:val="006F2F93"/>
    <w:rsid w:val="006F3D55"/>
    <w:rsid w:val="006F3EB1"/>
    <w:rsid w:val="006F6327"/>
    <w:rsid w:val="006F71E0"/>
    <w:rsid w:val="00701105"/>
    <w:rsid w:val="007011D7"/>
    <w:rsid w:val="00702E6D"/>
    <w:rsid w:val="00705AA2"/>
    <w:rsid w:val="00706D51"/>
    <w:rsid w:val="00707DD1"/>
    <w:rsid w:val="007116DF"/>
    <w:rsid w:val="00711EF2"/>
    <w:rsid w:val="00711F3A"/>
    <w:rsid w:val="00712637"/>
    <w:rsid w:val="00713EC4"/>
    <w:rsid w:val="0071738E"/>
    <w:rsid w:val="00721A01"/>
    <w:rsid w:val="00721BBF"/>
    <w:rsid w:val="007239A6"/>
    <w:rsid w:val="00733E5F"/>
    <w:rsid w:val="007359AB"/>
    <w:rsid w:val="00735EB1"/>
    <w:rsid w:val="0073624D"/>
    <w:rsid w:val="00740185"/>
    <w:rsid w:val="0074041A"/>
    <w:rsid w:val="00742C7C"/>
    <w:rsid w:val="0075486F"/>
    <w:rsid w:val="00755516"/>
    <w:rsid w:val="007568E1"/>
    <w:rsid w:val="00757CB2"/>
    <w:rsid w:val="00757E34"/>
    <w:rsid w:val="0076207F"/>
    <w:rsid w:val="00762D79"/>
    <w:rsid w:val="00763776"/>
    <w:rsid w:val="00764221"/>
    <w:rsid w:val="00764A2D"/>
    <w:rsid w:val="00765493"/>
    <w:rsid w:val="00771BC0"/>
    <w:rsid w:val="00772294"/>
    <w:rsid w:val="00773470"/>
    <w:rsid w:val="00773740"/>
    <w:rsid w:val="00774A2E"/>
    <w:rsid w:val="00775FA0"/>
    <w:rsid w:val="0077617D"/>
    <w:rsid w:val="00776B52"/>
    <w:rsid w:val="00777080"/>
    <w:rsid w:val="0077747B"/>
    <w:rsid w:val="00777A66"/>
    <w:rsid w:val="00781FE3"/>
    <w:rsid w:val="00784A92"/>
    <w:rsid w:val="00786423"/>
    <w:rsid w:val="00787383"/>
    <w:rsid w:val="00790449"/>
    <w:rsid w:val="00793A1F"/>
    <w:rsid w:val="0079434F"/>
    <w:rsid w:val="00794713"/>
    <w:rsid w:val="00795506"/>
    <w:rsid w:val="00797539"/>
    <w:rsid w:val="007A1536"/>
    <w:rsid w:val="007A215B"/>
    <w:rsid w:val="007A599C"/>
    <w:rsid w:val="007A59A1"/>
    <w:rsid w:val="007B27E0"/>
    <w:rsid w:val="007B4C16"/>
    <w:rsid w:val="007B6FFC"/>
    <w:rsid w:val="007B7A20"/>
    <w:rsid w:val="007C1DBD"/>
    <w:rsid w:val="007C30FC"/>
    <w:rsid w:val="007C3C5E"/>
    <w:rsid w:val="007C3F31"/>
    <w:rsid w:val="007C42B2"/>
    <w:rsid w:val="007D0282"/>
    <w:rsid w:val="007D0D12"/>
    <w:rsid w:val="007D10E1"/>
    <w:rsid w:val="007D2796"/>
    <w:rsid w:val="007D3E03"/>
    <w:rsid w:val="007D4753"/>
    <w:rsid w:val="007E04C2"/>
    <w:rsid w:val="007E3DE9"/>
    <w:rsid w:val="007F1E16"/>
    <w:rsid w:val="007F3F6D"/>
    <w:rsid w:val="007F508E"/>
    <w:rsid w:val="007F55A6"/>
    <w:rsid w:val="007F5C04"/>
    <w:rsid w:val="00803288"/>
    <w:rsid w:val="00803F93"/>
    <w:rsid w:val="008050AE"/>
    <w:rsid w:val="00805FEE"/>
    <w:rsid w:val="00806B6C"/>
    <w:rsid w:val="008077F8"/>
    <w:rsid w:val="008078A4"/>
    <w:rsid w:val="008103FE"/>
    <w:rsid w:val="008123B0"/>
    <w:rsid w:val="008144A5"/>
    <w:rsid w:val="00814761"/>
    <w:rsid w:val="00814A18"/>
    <w:rsid w:val="008216E7"/>
    <w:rsid w:val="00822B90"/>
    <w:rsid w:val="00823792"/>
    <w:rsid w:val="00826C14"/>
    <w:rsid w:val="00831597"/>
    <w:rsid w:val="00831C35"/>
    <w:rsid w:val="00832408"/>
    <w:rsid w:val="00833F5D"/>
    <w:rsid w:val="00834DB3"/>
    <w:rsid w:val="00835AC1"/>
    <w:rsid w:val="0083778F"/>
    <w:rsid w:val="00842838"/>
    <w:rsid w:val="00843994"/>
    <w:rsid w:val="00844B19"/>
    <w:rsid w:val="00846255"/>
    <w:rsid w:val="00855060"/>
    <w:rsid w:val="00863CAE"/>
    <w:rsid w:val="008644D7"/>
    <w:rsid w:val="008654A7"/>
    <w:rsid w:val="00870BCC"/>
    <w:rsid w:val="0087103D"/>
    <w:rsid w:val="00872E5E"/>
    <w:rsid w:val="008742B6"/>
    <w:rsid w:val="00876A0C"/>
    <w:rsid w:val="0088057C"/>
    <w:rsid w:val="00880B94"/>
    <w:rsid w:val="008820DB"/>
    <w:rsid w:val="00882990"/>
    <w:rsid w:val="00882B0C"/>
    <w:rsid w:val="00883F82"/>
    <w:rsid w:val="00885A46"/>
    <w:rsid w:val="00887543"/>
    <w:rsid w:val="00891775"/>
    <w:rsid w:val="00892CFA"/>
    <w:rsid w:val="00893F74"/>
    <w:rsid w:val="0089689D"/>
    <w:rsid w:val="00896AF2"/>
    <w:rsid w:val="008A2D66"/>
    <w:rsid w:val="008A3518"/>
    <w:rsid w:val="008A3C19"/>
    <w:rsid w:val="008A4319"/>
    <w:rsid w:val="008A65C4"/>
    <w:rsid w:val="008B026D"/>
    <w:rsid w:val="008B04C0"/>
    <w:rsid w:val="008B1C49"/>
    <w:rsid w:val="008B2DED"/>
    <w:rsid w:val="008B420C"/>
    <w:rsid w:val="008B513C"/>
    <w:rsid w:val="008B5210"/>
    <w:rsid w:val="008B6A0F"/>
    <w:rsid w:val="008C03F3"/>
    <w:rsid w:val="008C0E91"/>
    <w:rsid w:val="008C25D2"/>
    <w:rsid w:val="008C38B3"/>
    <w:rsid w:val="008C408D"/>
    <w:rsid w:val="008C4280"/>
    <w:rsid w:val="008C430A"/>
    <w:rsid w:val="008D0921"/>
    <w:rsid w:val="008D0E17"/>
    <w:rsid w:val="008D7786"/>
    <w:rsid w:val="008E28FE"/>
    <w:rsid w:val="008E4D95"/>
    <w:rsid w:val="008E579D"/>
    <w:rsid w:val="008E57D1"/>
    <w:rsid w:val="008E58B2"/>
    <w:rsid w:val="008E6FC6"/>
    <w:rsid w:val="008F0762"/>
    <w:rsid w:val="008F311A"/>
    <w:rsid w:val="008F3C6D"/>
    <w:rsid w:val="008F5CD9"/>
    <w:rsid w:val="008F7D8F"/>
    <w:rsid w:val="00904555"/>
    <w:rsid w:val="00905BEE"/>
    <w:rsid w:val="00910578"/>
    <w:rsid w:val="009123F6"/>
    <w:rsid w:val="0091367A"/>
    <w:rsid w:val="00914149"/>
    <w:rsid w:val="0091740B"/>
    <w:rsid w:val="00920DDC"/>
    <w:rsid w:val="0092168C"/>
    <w:rsid w:val="009238CF"/>
    <w:rsid w:val="009313A4"/>
    <w:rsid w:val="00931751"/>
    <w:rsid w:val="009341D2"/>
    <w:rsid w:val="009354F6"/>
    <w:rsid w:val="00936366"/>
    <w:rsid w:val="009421FF"/>
    <w:rsid w:val="00944D55"/>
    <w:rsid w:val="00945CD0"/>
    <w:rsid w:val="009506D3"/>
    <w:rsid w:val="00952B9B"/>
    <w:rsid w:val="00953911"/>
    <w:rsid w:val="009551E2"/>
    <w:rsid w:val="00957FAE"/>
    <w:rsid w:val="00966245"/>
    <w:rsid w:val="00967CFA"/>
    <w:rsid w:val="009720FC"/>
    <w:rsid w:val="00972C15"/>
    <w:rsid w:val="0097652D"/>
    <w:rsid w:val="00977C55"/>
    <w:rsid w:val="00980F26"/>
    <w:rsid w:val="00983179"/>
    <w:rsid w:val="0098385F"/>
    <w:rsid w:val="00985D58"/>
    <w:rsid w:val="00985F6E"/>
    <w:rsid w:val="00986554"/>
    <w:rsid w:val="009908F3"/>
    <w:rsid w:val="009911C4"/>
    <w:rsid w:val="00994FEC"/>
    <w:rsid w:val="00995711"/>
    <w:rsid w:val="00996E1E"/>
    <w:rsid w:val="00997057"/>
    <w:rsid w:val="009A0304"/>
    <w:rsid w:val="009A25F0"/>
    <w:rsid w:val="009A77D2"/>
    <w:rsid w:val="009B0295"/>
    <w:rsid w:val="009B195A"/>
    <w:rsid w:val="009B1FA0"/>
    <w:rsid w:val="009B45B9"/>
    <w:rsid w:val="009B4D5E"/>
    <w:rsid w:val="009B5360"/>
    <w:rsid w:val="009B55DF"/>
    <w:rsid w:val="009C066D"/>
    <w:rsid w:val="009C0F7D"/>
    <w:rsid w:val="009C137B"/>
    <w:rsid w:val="009C3A77"/>
    <w:rsid w:val="009C4DA2"/>
    <w:rsid w:val="009C7B76"/>
    <w:rsid w:val="009D036D"/>
    <w:rsid w:val="009D1549"/>
    <w:rsid w:val="009D1675"/>
    <w:rsid w:val="009D32F0"/>
    <w:rsid w:val="009D3BDD"/>
    <w:rsid w:val="009D4F4B"/>
    <w:rsid w:val="009D5700"/>
    <w:rsid w:val="009D6BC2"/>
    <w:rsid w:val="009E33E2"/>
    <w:rsid w:val="009E3478"/>
    <w:rsid w:val="009E45B2"/>
    <w:rsid w:val="009E7818"/>
    <w:rsid w:val="009F0761"/>
    <w:rsid w:val="009F4B9A"/>
    <w:rsid w:val="00A030A1"/>
    <w:rsid w:val="00A03D31"/>
    <w:rsid w:val="00A054F7"/>
    <w:rsid w:val="00A05621"/>
    <w:rsid w:val="00A07FD7"/>
    <w:rsid w:val="00A105BC"/>
    <w:rsid w:val="00A10EAF"/>
    <w:rsid w:val="00A120ED"/>
    <w:rsid w:val="00A1225D"/>
    <w:rsid w:val="00A12580"/>
    <w:rsid w:val="00A13BEC"/>
    <w:rsid w:val="00A13E1F"/>
    <w:rsid w:val="00A14E6E"/>
    <w:rsid w:val="00A15479"/>
    <w:rsid w:val="00A16B7A"/>
    <w:rsid w:val="00A17FF7"/>
    <w:rsid w:val="00A20F03"/>
    <w:rsid w:val="00A21F3F"/>
    <w:rsid w:val="00A302EC"/>
    <w:rsid w:val="00A3184C"/>
    <w:rsid w:val="00A34145"/>
    <w:rsid w:val="00A35E36"/>
    <w:rsid w:val="00A365FE"/>
    <w:rsid w:val="00A4007A"/>
    <w:rsid w:val="00A402D9"/>
    <w:rsid w:val="00A416EF"/>
    <w:rsid w:val="00A4355E"/>
    <w:rsid w:val="00A50867"/>
    <w:rsid w:val="00A531BC"/>
    <w:rsid w:val="00A548B9"/>
    <w:rsid w:val="00A54D70"/>
    <w:rsid w:val="00A60972"/>
    <w:rsid w:val="00A60C89"/>
    <w:rsid w:val="00A62FAE"/>
    <w:rsid w:val="00A673BD"/>
    <w:rsid w:val="00A7080A"/>
    <w:rsid w:val="00A73332"/>
    <w:rsid w:val="00A75A45"/>
    <w:rsid w:val="00A77333"/>
    <w:rsid w:val="00A80597"/>
    <w:rsid w:val="00A80B1A"/>
    <w:rsid w:val="00A849E5"/>
    <w:rsid w:val="00A859D5"/>
    <w:rsid w:val="00A87062"/>
    <w:rsid w:val="00A91465"/>
    <w:rsid w:val="00A92190"/>
    <w:rsid w:val="00A931FB"/>
    <w:rsid w:val="00A93728"/>
    <w:rsid w:val="00AA0245"/>
    <w:rsid w:val="00AA1FC7"/>
    <w:rsid w:val="00AA217B"/>
    <w:rsid w:val="00AA6021"/>
    <w:rsid w:val="00AB01C6"/>
    <w:rsid w:val="00AB2AA7"/>
    <w:rsid w:val="00AB3D3C"/>
    <w:rsid w:val="00AC2AB7"/>
    <w:rsid w:val="00AC3348"/>
    <w:rsid w:val="00AC45E3"/>
    <w:rsid w:val="00AC48DC"/>
    <w:rsid w:val="00AC666E"/>
    <w:rsid w:val="00AC6686"/>
    <w:rsid w:val="00AC6B95"/>
    <w:rsid w:val="00AC7EDE"/>
    <w:rsid w:val="00AD0458"/>
    <w:rsid w:val="00AD0D3A"/>
    <w:rsid w:val="00AE1B26"/>
    <w:rsid w:val="00AE1BBE"/>
    <w:rsid w:val="00AE417A"/>
    <w:rsid w:val="00AE5103"/>
    <w:rsid w:val="00AE54AC"/>
    <w:rsid w:val="00AE64EE"/>
    <w:rsid w:val="00AF1B5C"/>
    <w:rsid w:val="00AF2273"/>
    <w:rsid w:val="00AF3B62"/>
    <w:rsid w:val="00AF4EB3"/>
    <w:rsid w:val="00AF5DCE"/>
    <w:rsid w:val="00B00BB0"/>
    <w:rsid w:val="00B05168"/>
    <w:rsid w:val="00B059B9"/>
    <w:rsid w:val="00B06070"/>
    <w:rsid w:val="00B0664E"/>
    <w:rsid w:val="00B06FC8"/>
    <w:rsid w:val="00B10F09"/>
    <w:rsid w:val="00B11AC3"/>
    <w:rsid w:val="00B13678"/>
    <w:rsid w:val="00B15D11"/>
    <w:rsid w:val="00B164E9"/>
    <w:rsid w:val="00B25986"/>
    <w:rsid w:val="00B2789D"/>
    <w:rsid w:val="00B33895"/>
    <w:rsid w:val="00B35BCB"/>
    <w:rsid w:val="00B41A08"/>
    <w:rsid w:val="00B41B0D"/>
    <w:rsid w:val="00B41FD8"/>
    <w:rsid w:val="00B4443C"/>
    <w:rsid w:val="00B47B90"/>
    <w:rsid w:val="00B51ED8"/>
    <w:rsid w:val="00B54C50"/>
    <w:rsid w:val="00B57EDE"/>
    <w:rsid w:val="00B61505"/>
    <w:rsid w:val="00B627B4"/>
    <w:rsid w:val="00B6292F"/>
    <w:rsid w:val="00B65E76"/>
    <w:rsid w:val="00B65EB4"/>
    <w:rsid w:val="00B666C4"/>
    <w:rsid w:val="00B669C5"/>
    <w:rsid w:val="00B70842"/>
    <w:rsid w:val="00B728C4"/>
    <w:rsid w:val="00B74EB6"/>
    <w:rsid w:val="00B751F0"/>
    <w:rsid w:val="00B761D4"/>
    <w:rsid w:val="00B766AC"/>
    <w:rsid w:val="00B77E38"/>
    <w:rsid w:val="00B8116C"/>
    <w:rsid w:val="00B83095"/>
    <w:rsid w:val="00B84F49"/>
    <w:rsid w:val="00B91F1D"/>
    <w:rsid w:val="00B930AB"/>
    <w:rsid w:val="00B94AD0"/>
    <w:rsid w:val="00B951B0"/>
    <w:rsid w:val="00BA458D"/>
    <w:rsid w:val="00BA7BA8"/>
    <w:rsid w:val="00BA7DE6"/>
    <w:rsid w:val="00BA7FE5"/>
    <w:rsid w:val="00BB5224"/>
    <w:rsid w:val="00BC0057"/>
    <w:rsid w:val="00BC0CA3"/>
    <w:rsid w:val="00BC2CDF"/>
    <w:rsid w:val="00BC3216"/>
    <w:rsid w:val="00BC38A0"/>
    <w:rsid w:val="00BC6ACD"/>
    <w:rsid w:val="00BC6DFE"/>
    <w:rsid w:val="00BC7E25"/>
    <w:rsid w:val="00BD05DD"/>
    <w:rsid w:val="00BD1342"/>
    <w:rsid w:val="00BD1EED"/>
    <w:rsid w:val="00BD285C"/>
    <w:rsid w:val="00BE05FD"/>
    <w:rsid w:val="00BE108B"/>
    <w:rsid w:val="00BE2258"/>
    <w:rsid w:val="00BE2556"/>
    <w:rsid w:val="00BE338D"/>
    <w:rsid w:val="00BE3ECE"/>
    <w:rsid w:val="00BE5760"/>
    <w:rsid w:val="00BE5DDE"/>
    <w:rsid w:val="00BE7832"/>
    <w:rsid w:val="00BE7A10"/>
    <w:rsid w:val="00BF0A1C"/>
    <w:rsid w:val="00BF52F2"/>
    <w:rsid w:val="00BF6B2F"/>
    <w:rsid w:val="00C0068E"/>
    <w:rsid w:val="00C01168"/>
    <w:rsid w:val="00C023DA"/>
    <w:rsid w:val="00C0262F"/>
    <w:rsid w:val="00C0324E"/>
    <w:rsid w:val="00C047E8"/>
    <w:rsid w:val="00C06182"/>
    <w:rsid w:val="00C11B68"/>
    <w:rsid w:val="00C21134"/>
    <w:rsid w:val="00C212EA"/>
    <w:rsid w:val="00C227AE"/>
    <w:rsid w:val="00C25C94"/>
    <w:rsid w:val="00C26A01"/>
    <w:rsid w:val="00C30715"/>
    <w:rsid w:val="00C30FFB"/>
    <w:rsid w:val="00C34E6D"/>
    <w:rsid w:val="00C37524"/>
    <w:rsid w:val="00C41187"/>
    <w:rsid w:val="00C44070"/>
    <w:rsid w:val="00C45E48"/>
    <w:rsid w:val="00C50F13"/>
    <w:rsid w:val="00C517E4"/>
    <w:rsid w:val="00C523C8"/>
    <w:rsid w:val="00C529D2"/>
    <w:rsid w:val="00C5302F"/>
    <w:rsid w:val="00C535F0"/>
    <w:rsid w:val="00C56678"/>
    <w:rsid w:val="00C56B8B"/>
    <w:rsid w:val="00C575FA"/>
    <w:rsid w:val="00C6044F"/>
    <w:rsid w:val="00C60F60"/>
    <w:rsid w:val="00C623E8"/>
    <w:rsid w:val="00C62404"/>
    <w:rsid w:val="00C636D2"/>
    <w:rsid w:val="00C65FFF"/>
    <w:rsid w:val="00C74B57"/>
    <w:rsid w:val="00C801B5"/>
    <w:rsid w:val="00C91EEB"/>
    <w:rsid w:val="00C920D7"/>
    <w:rsid w:val="00C93980"/>
    <w:rsid w:val="00C957E9"/>
    <w:rsid w:val="00CA1E95"/>
    <w:rsid w:val="00CA32DB"/>
    <w:rsid w:val="00CA36FA"/>
    <w:rsid w:val="00CA532C"/>
    <w:rsid w:val="00CA5976"/>
    <w:rsid w:val="00CA5B7D"/>
    <w:rsid w:val="00CA6404"/>
    <w:rsid w:val="00CA646D"/>
    <w:rsid w:val="00CA6F40"/>
    <w:rsid w:val="00CA75D1"/>
    <w:rsid w:val="00CB0ACA"/>
    <w:rsid w:val="00CB1941"/>
    <w:rsid w:val="00CB2FDE"/>
    <w:rsid w:val="00CB3064"/>
    <w:rsid w:val="00CB7C8F"/>
    <w:rsid w:val="00CC05EB"/>
    <w:rsid w:val="00CC0E41"/>
    <w:rsid w:val="00CC1F8B"/>
    <w:rsid w:val="00CC27EE"/>
    <w:rsid w:val="00CC3C5C"/>
    <w:rsid w:val="00CC51F4"/>
    <w:rsid w:val="00CC5D5E"/>
    <w:rsid w:val="00CC5F2C"/>
    <w:rsid w:val="00CC64F6"/>
    <w:rsid w:val="00CC692D"/>
    <w:rsid w:val="00CC70A5"/>
    <w:rsid w:val="00CC7761"/>
    <w:rsid w:val="00CD3212"/>
    <w:rsid w:val="00CD36D8"/>
    <w:rsid w:val="00CD42D9"/>
    <w:rsid w:val="00CD4713"/>
    <w:rsid w:val="00CE1B5C"/>
    <w:rsid w:val="00CE2073"/>
    <w:rsid w:val="00CE61C3"/>
    <w:rsid w:val="00CE6617"/>
    <w:rsid w:val="00CE6AFC"/>
    <w:rsid w:val="00CE7012"/>
    <w:rsid w:val="00CE7A6E"/>
    <w:rsid w:val="00CF023B"/>
    <w:rsid w:val="00CF06A0"/>
    <w:rsid w:val="00CF493D"/>
    <w:rsid w:val="00CF56B7"/>
    <w:rsid w:val="00CF6C4E"/>
    <w:rsid w:val="00CF7F9B"/>
    <w:rsid w:val="00D00BD7"/>
    <w:rsid w:val="00D00BFC"/>
    <w:rsid w:val="00D012D3"/>
    <w:rsid w:val="00D02C9C"/>
    <w:rsid w:val="00D042D8"/>
    <w:rsid w:val="00D0442F"/>
    <w:rsid w:val="00D05378"/>
    <w:rsid w:val="00D0658B"/>
    <w:rsid w:val="00D108C9"/>
    <w:rsid w:val="00D10F51"/>
    <w:rsid w:val="00D128DA"/>
    <w:rsid w:val="00D12DE0"/>
    <w:rsid w:val="00D16D90"/>
    <w:rsid w:val="00D21D1D"/>
    <w:rsid w:val="00D307DC"/>
    <w:rsid w:val="00D34F5C"/>
    <w:rsid w:val="00D35E15"/>
    <w:rsid w:val="00D36522"/>
    <w:rsid w:val="00D3685B"/>
    <w:rsid w:val="00D37040"/>
    <w:rsid w:val="00D377AE"/>
    <w:rsid w:val="00D4059E"/>
    <w:rsid w:val="00D40AC3"/>
    <w:rsid w:val="00D40B17"/>
    <w:rsid w:val="00D41A63"/>
    <w:rsid w:val="00D420E2"/>
    <w:rsid w:val="00D47017"/>
    <w:rsid w:val="00D51DF9"/>
    <w:rsid w:val="00D53F78"/>
    <w:rsid w:val="00D54258"/>
    <w:rsid w:val="00D54A88"/>
    <w:rsid w:val="00D57BE7"/>
    <w:rsid w:val="00D57F20"/>
    <w:rsid w:val="00D57F29"/>
    <w:rsid w:val="00D6246D"/>
    <w:rsid w:val="00D639C9"/>
    <w:rsid w:val="00D6481C"/>
    <w:rsid w:val="00D65725"/>
    <w:rsid w:val="00D66388"/>
    <w:rsid w:val="00D71169"/>
    <w:rsid w:val="00D712FD"/>
    <w:rsid w:val="00D71B58"/>
    <w:rsid w:val="00D7262A"/>
    <w:rsid w:val="00D72E2B"/>
    <w:rsid w:val="00D72E50"/>
    <w:rsid w:val="00D73DEE"/>
    <w:rsid w:val="00D775D4"/>
    <w:rsid w:val="00D80840"/>
    <w:rsid w:val="00D83750"/>
    <w:rsid w:val="00D837B6"/>
    <w:rsid w:val="00D83BB2"/>
    <w:rsid w:val="00D8732D"/>
    <w:rsid w:val="00D903AC"/>
    <w:rsid w:val="00D9131C"/>
    <w:rsid w:val="00D9204A"/>
    <w:rsid w:val="00D92A2D"/>
    <w:rsid w:val="00D9633C"/>
    <w:rsid w:val="00DA01AD"/>
    <w:rsid w:val="00DA11F0"/>
    <w:rsid w:val="00DA233A"/>
    <w:rsid w:val="00DA33E2"/>
    <w:rsid w:val="00DA787F"/>
    <w:rsid w:val="00DB0146"/>
    <w:rsid w:val="00DB13BB"/>
    <w:rsid w:val="00DB1BDC"/>
    <w:rsid w:val="00DB20BE"/>
    <w:rsid w:val="00DB53ED"/>
    <w:rsid w:val="00DB6896"/>
    <w:rsid w:val="00DB6D65"/>
    <w:rsid w:val="00DB6F8E"/>
    <w:rsid w:val="00DB7BD0"/>
    <w:rsid w:val="00DC0A89"/>
    <w:rsid w:val="00DC1F17"/>
    <w:rsid w:val="00DD1FB4"/>
    <w:rsid w:val="00DD41B1"/>
    <w:rsid w:val="00DD7C05"/>
    <w:rsid w:val="00DE0A12"/>
    <w:rsid w:val="00DE554D"/>
    <w:rsid w:val="00DE7EF7"/>
    <w:rsid w:val="00DF0CA2"/>
    <w:rsid w:val="00DF3A8E"/>
    <w:rsid w:val="00DF43D2"/>
    <w:rsid w:val="00DF44AF"/>
    <w:rsid w:val="00DF4810"/>
    <w:rsid w:val="00DF4D8A"/>
    <w:rsid w:val="00DF62AE"/>
    <w:rsid w:val="00DF7FF9"/>
    <w:rsid w:val="00E007CC"/>
    <w:rsid w:val="00E027FA"/>
    <w:rsid w:val="00E042AC"/>
    <w:rsid w:val="00E04FD5"/>
    <w:rsid w:val="00E05454"/>
    <w:rsid w:val="00E06025"/>
    <w:rsid w:val="00E06A7E"/>
    <w:rsid w:val="00E06E94"/>
    <w:rsid w:val="00E06FFE"/>
    <w:rsid w:val="00E07CED"/>
    <w:rsid w:val="00E10BA5"/>
    <w:rsid w:val="00E1472B"/>
    <w:rsid w:val="00E1502A"/>
    <w:rsid w:val="00E1700A"/>
    <w:rsid w:val="00E17E04"/>
    <w:rsid w:val="00E223E7"/>
    <w:rsid w:val="00E26A6C"/>
    <w:rsid w:val="00E26CE4"/>
    <w:rsid w:val="00E26F83"/>
    <w:rsid w:val="00E276DA"/>
    <w:rsid w:val="00E27B5D"/>
    <w:rsid w:val="00E3117A"/>
    <w:rsid w:val="00E31BDE"/>
    <w:rsid w:val="00E32181"/>
    <w:rsid w:val="00E36689"/>
    <w:rsid w:val="00E5296D"/>
    <w:rsid w:val="00E52F29"/>
    <w:rsid w:val="00E52FA2"/>
    <w:rsid w:val="00E530CA"/>
    <w:rsid w:val="00E545CC"/>
    <w:rsid w:val="00E575DF"/>
    <w:rsid w:val="00E64DA8"/>
    <w:rsid w:val="00E6557B"/>
    <w:rsid w:val="00E66433"/>
    <w:rsid w:val="00E702C2"/>
    <w:rsid w:val="00E704DE"/>
    <w:rsid w:val="00E7072C"/>
    <w:rsid w:val="00E71702"/>
    <w:rsid w:val="00E727B4"/>
    <w:rsid w:val="00E736A5"/>
    <w:rsid w:val="00E74523"/>
    <w:rsid w:val="00E74763"/>
    <w:rsid w:val="00E752B9"/>
    <w:rsid w:val="00E77E75"/>
    <w:rsid w:val="00E8177D"/>
    <w:rsid w:val="00E81973"/>
    <w:rsid w:val="00E819DD"/>
    <w:rsid w:val="00E82D60"/>
    <w:rsid w:val="00E91D0C"/>
    <w:rsid w:val="00E91FB9"/>
    <w:rsid w:val="00E96050"/>
    <w:rsid w:val="00E978AC"/>
    <w:rsid w:val="00E97C35"/>
    <w:rsid w:val="00EA0C96"/>
    <w:rsid w:val="00EA2E0F"/>
    <w:rsid w:val="00EA2FC3"/>
    <w:rsid w:val="00EA313C"/>
    <w:rsid w:val="00EB34A7"/>
    <w:rsid w:val="00EB4399"/>
    <w:rsid w:val="00EB5446"/>
    <w:rsid w:val="00EB6DB1"/>
    <w:rsid w:val="00EB70BE"/>
    <w:rsid w:val="00EC13DF"/>
    <w:rsid w:val="00EC2581"/>
    <w:rsid w:val="00EC2ADA"/>
    <w:rsid w:val="00EC428A"/>
    <w:rsid w:val="00EC5730"/>
    <w:rsid w:val="00EC6BFB"/>
    <w:rsid w:val="00EC7646"/>
    <w:rsid w:val="00ED0588"/>
    <w:rsid w:val="00ED06B8"/>
    <w:rsid w:val="00ED4771"/>
    <w:rsid w:val="00ED7073"/>
    <w:rsid w:val="00ED7207"/>
    <w:rsid w:val="00EE3919"/>
    <w:rsid w:val="00EE5456"/>
    <w:rsid w:val="00EE5AAF"/>
    <w:rsid w:val="00EE6EA9"/>
    <w:rsid w:val="00EE7F12"/>
    <w:rsid w:val="00EF18BE"/>
    <w:rsid w:val="00EF26ED"/>
    <w:rsid w:val="00EF2C5C"/>
    <w:rsid w:val="00EF3C34"/>
    <w:rsid w:val="00EF4410"/>
    <w:rsid w:val="00EF52D1"/>
    <w:rsid w:val="00EF77EA"/>
    <w:rsid w:val="00F004A9"/>
    <w:rsid w:val="00F01AA9"/>
    <w:rsid w:val="00F026E7"/>
    <w:rsid w:val="00F029C7"/>
    <w:rsid w:val="00F03812"/>
    <w:rsid w:val="00F04114"/>
    <w:rsid w:val="00F05048"/>
    <w:rsid w:val="00F06B0F"/>
    <w:rsid w:val="00F073A3"/>
    <w:rsid w:val="00F134C9"/>
    <w:rsid w:val="00F20D02"/>
    <w:rsid w:val="00F22374"/>
    <w:rsid w:val="00F22666"/>
    <w:rsid w:val="00F2357C"/>
    <w:rsid w:val="00F235DD"/>
    <w:rsid w:val="00F24F3E"/>
    <w:rsid w:val="00F250C7"/>
    <w:rsid w:val="00F27EC1"/>
    <w:rsid w:val="00F327F0"/>
    <w:rsid w:val="00F36F38"/>
    <w:rsid w:val="00F37296"/>
    <w:rsid w:val="00F404B6"/>
    <w:rsid w:val="00F40665"/>
    <w:rsid w:val="00F50D6F"/>
    <w:rsid w:val="00F550AF"/>
    <w:rsid w:val="00F56B29"/>
    <w:rsid w:val="00F57CE6"/>
    <w:rsid w:val="00F62C9A"/>
    <w:rsid w:val="00F63751"/>
    <w:rsid w:val="00F66041"/>
    <w:rsid w:val="00F6762D"/>
    <w:rsid w:val="00F678B8"/>
    <w:rsid w:val="00F70C98"/>
    <w:rsid w:val="00F71AC6"/>
    <w:rsid w:val="00F745A9"/>
    <w:rsid w:val="00F745B2"/>
    <w:rsid w:val="00F752C0"/>
    <w:rsid w:val="00F92383"/>
    <w:rsid w:val="00F93584"/>
    <w:rsid w:val="00F93C80"/>
    <w:rsid w:val="00F9492A"/>
    <w:rsid w:val="00F94E9E"/>
    <w:rsid w:val="00F95D7A"/>
    <w:rsid w:val="00F9648F"/>
    <w:rsid w:val="00FA03D2"/>
    <w:rsid w:val="00FA0E6C"/>
    <w:rsid w:val="00FA3AA0"/>
    <w:rsid w:val="00FA4471"/>
    <w:rsid w:val="00FA4DEF"/>
    <w:rsid w:val="00FA5FFB"/>
    <w:rsid w:val="00FB056C"/>
    <w:rsid w:val="00FB08E0"/>
    <w:rsid w:val="00FB18B6"/>
    <w:rsid w:val="00FB21A6"/>
    <w:rsid w:val="00FB282D"/>
    <w:rsid w:val="00FB39D6"/>
    <w:rsid w:val="00FB46BC"/>
    <w:rsid w:val="00FB59A3"/>
    <w:rsid w:val="00FB6BBD"/>
    <w:rsid w:val="00FC0FF4"/>
    <w:rsid w:val="00FC1A9C"/>
    <w:rsid w:val="00FC5F35"/>
    <w:rsid w:val="00FD0AAE"/>
    <w:rsid w:val="00FD28A3"/>
    <w:rsid w:val="00FD5B0B"/>
    <w:rsid w:val="00FE0629"/>
    <w:rsid w:val="00FE0C80"/>
    <w:rsid w:val="00FE0CC8"/>
    <w:rsid w:val="00FE2DBA"/>
    <w:rsid w:val="00FF1CDC"/>
    <w:rsid w:val="00FF3924"/>
    <w:rsid w:val="00FF3B16"/>
    <w:rsid w:val="00FF5258"/>
    <w:rsid w:val="00FF623D"/>
    <w:rsid w:val="01E07B64"/>
    <w:rsid w:val="02360C51"/>
    <w:rsid w:val="02965E62"/>
    <w:rsid w:val="02C73098"/>
    <w:rsid w:val="02FFF61C"/>
    <w:rsid w:val="03550AD3"/>
    <w:rsid w:val="0414C858"/>
    <w:rsid w:val="044020DF"/>
    <w:rsid w:val="04718244"/>
    <w:rsid w:val="05FF20CE"/>
    <w:rsid w:val="068D59BA"/>
    <w:rsid w:val="06DAE4F5"/>
    <w:rsid w:val="06F437D2"/>
    <w:rsid w:val="083D6CD3"/>
    <w:rsid w:val="08EBA9CC"/>
    <w:rsid w:val="092AAA13"/>
    <w:rsid w:val="09C92F99"/>
    <w:rsid w:val="0BCB5D12"/>
    <w:rsid w:val="0C1D845D"/>
    <w:rsid w:val="0C8F4E4D"/>
    <w:rsid w:val="0D9709C6"/>
    <w:rsid w:val="0E39070A"/>
    <w:rsid w:val="0E69E0B6"/>
    <w:rsid w:val="1015392F"/>
    <w:rsid w:val="10911D3F"/>
    <w:rsid w:val="10A5826A"/>
    <w:rsid w:val="10B27F72"/>
    <w:rsid w:val="110B0C75"/>
    <w:rsid w:val="117BEC08"/>
    <w:rsid w:val="120F1B6F"/>
    <w:rsid w:val="123BB985"/>
    <w:rsid w:val="12C033F5"/>
    <w:rsid w:val="12CD0E5A"/>
    <w:rsid w:val="12CDCAA2"/>
    <w:rsid w:val="1395EBC4"/>
    <w:rsid w:val="139816F2"/>
    <w:rsid w:val="13DB4BBA"/>
    <w:rsid w:val="14DE36E6"/>
    <w:rsid w:val="15517448"/>
    <w:rsid w:val="15865183"/>
    <w:rsid w:val="15E449C4"/>
    <w:rsid w:val="166A221F"/>
    <w:rsid w:val="17608433"/>
    <w:rsid w:val="178AEBDE"/>
    <w:rsid w:val="17B710DD"/>
    <w:rsid w:val="18C5A8DF"/>
    <w:rsid w:val="18E27CD6"/>
    <w:rsid w:val="196E36A2"/>
    <w:rsid w:val="19ECC9F7"/>
    <w:rsid w:val="1ACC0F7D"/>
    <w:rsid w:val="1AD45F4D"/>
    <w:rsid w:val="1E28B651"/>
    <w:rsid w:val="1E711A02"/>
    <w:rsid w:val="1E7339C8"/>
    <w:rsid w:val="1EC5BED5"/>
    <w:rsid w:val="1ED34B82"/>
    <w:rsid w:val="1F3A09D9"/>
    <w:rsid w:val="1F49FAC6"/>
    <w:rsid w:val="1FA95B9A"/>
    <w:rsid w:val="1FDC0799"/>
    <w:rsid w:val="1FE4495C"/>
    <w:rsid w:val="20346491"/>
    <w:rsid w:val="2060D9F1"/>
    <w:rsid w:val="20AB0435"/>
    <w:rsid w:val="20D2BE52"/>
    <w:rsid w:val="21442D68"/>
    <w:rsid w:val="219AA36B"/>
    <w:rsid w:val="21C12190"/>
    <w:rsid w:val="2331C47E"/>
    <w:rsid w:val="25065C98"/>
    <w:rsid w:val="251FD5F3"/>
    <w:rsid w:val="2569685F"/>
    <w:rsid w:val="258FAFDA"/>
    <w:rsid w:val="25BB7CD5"/>
    <w:rsid w:val="266986CA"/>
    <w:rsid w:val="26E72217"/>
    <w:rsid w:val="27968BB1"/>
    <w:rsid w:val="27E3458F"/>
    <w:rsid w:val="28386EB0"/>
    <w:rsid w:val="29158524"/>
    <w:rsid w:val="2980119D"/>
    <w:rsid w:val="2A13A651"/>
    <w:rsid w:val="2A4345EA"/>
    <w:rsid w:val="2A4791F8"/>
    <w:rsid w:val="2B3E9929"/>
    <w:rsid w:val="2B77EBF0"/>
    <w:rsid w:val="2BECC820"/>
    <w:rsid w:val="2C1C53C2"/>
    <w:rsid w:val="2C2CA636"/>
    <w:rsid w:val="2E22D8D3"/>
    <w:rsid w:val="2F6BE494"/>
    <w:rsid w:val="30D103C4"/>
    <w:rsid w:val="31503F5F"/>
    <w:rsid w:val="31926DA2"/>
    <w:rsid w:val="31934B10"/>
    <w:rsid w:val="3228A91A"/>
    <w:rsid w:val="327BB34B"/>
    <w:rsid w:val="3504D67A"/>
    <w:rsid w:val="35374B10"/>
    <w:rsid w:val="35A7E750"/>
    <w:rsid w:val="3662AB0F"/>
    <w:rsid w:val="36791AD4"/>
    <w:rsid w:val="367C5AA9"/>
    <w:rsid w:val="38D5D05C"/>
    <w:rsid w:val="38D978F4"/>
    <w:rsid w:val="3AEBCC42"/>
    <w:rsid w:val="3C37CF33"/>
    <w:rsid w:val="3C513FA0"/>
    <w:rsid w:val="3CD3BFA0"/>
    <w:rsid w:val="3CEAC053"/>
    <w:rsid w:val="3D210A54"/>
    <w:rsid w:val="3D582548"/>
    <w:rsid w:val="3F3E81BB"/>
    <w:rsid w:val="3FB5BF42"/>
    <w:rsid w:val="3FE97EA4"/>
    <w:rsid w:val="40E370A3"/>
    <w:rsid w:val="41ACF1C2"/>
    <w:rsid w:val="420C806D"/>
    <w:rsid w:val="425632A9"/>
    <w:rsid w:val="433A927C"/>
    <w:rsid w:val="434F1FFC"/>
    <w:rsid w:val="441AF38D"/>
    <w:rsid w:val="44998507"/>
    <w:rsid w:val="450A3C4B"/>
    <w:rsid w:val="451F5AA2"/>
    <w:rsid w:val="452A0057"/>
    <w:rsid w:val="45A0D9D5"/>
    <w:rsid w:val="460C098A"/>
    <w:rsid w:val="4724F3A4"/>
    <w:rsid w:val="47827FF4"/>
    <w:rsid w:val="47A75EF3"/>
    <w:rsid w:val="4835E320"/>
    <w:rsid w:val="48831107"/>
    <w:rsid w:val="490EC50D"/>
    <w:rsid w:val="4A308483"/>
    <w:rsid w:val="4ADE569E"/>
    <w:rsid w:val="4ADFCA51"/>
    <w:rsid w:val="4AFE0E07"/>
    <w:rsid w:val="4C34CBC1"/>
    <w:rsid w:val="4CE9BBEC"/>
    <w:rsid w:val="4D2765B6"/>
    <w:rsid w:val="4D711E27"/>
    <w:rsid w:val="4D73C543"/>
    <w:rsid w:val="4D76B8DA"/>
    <w:rsid w:val="4DB60EFB"/>
    <w:rsid w:val="4EB41EED"/>
    <w:rsid w:val="4FD4D415"/>
    <w:rsid w:val="50A373FD"/>
    <w:rsid w:val="526FBE13"/>
    <w:rsid w:val="53027F2D"/>
    <w:rsid w:val="5313FE0D"/>
    <w:rsid w:val="552ADE34"/>
    <w:rsid w:val="558BCFE8"/>
    <w:rsid w:val="55AD67B3"/>
    <w:rsid w:val="5605C0D3"/>
    <w:rsid w:val="56368D99"/>
    <w:rsid w:val="5658F365"/>
    <w:rsid w:val="5732D593"/>
    <w:rsid w:val="57AE7373"/>
    <w:rsid w:val="5803637C"/>
    <w:rsid w:val="587C7AD5"/>
    <w:rsid w:val="58C6DB96"/>
    <w:rsid w:val="58C8CD55"/>
    <w:rsid w:val="59DC229E"/>
    <w:rsid w:val="59EBC7E0"/>
    <w:rsid w:val="5A8D52FD"/>
    <w:rsid w:val="5A9AB3F2"/>
    <w:rsid w:val="5BCF46E1"/>
    <w:rsid w:val="5BFA3D4D"/>
    <w:rsid w:val="5C3BB21F"/>
    <w:rsid w:val="5CC44CCF"/>
    <w:rsid w:val="5CFE5C62"/>
    <w:rsid w:val="5D89AF46"/>
    <w:rsid w:val="5EB829D1"/>
    <w:rsid w:val="5EED68C4"/>
    <w:rsid w:val="5F1FB493"/>
    <w:rsid w:val="620922E4"/>
    <w:rsid w:val="63131EA7"/>
    <w:rsid w:val="65379AF5"/>
    <w:rsid w:val="6547BE1A"/>
    <w:rsid w:val="65F72685"/>
    <w:rsid w:val="67AE0AFA"/>
    <w:rsid w:val="6833DD57"/>
    <w:rsid w:val="688F79A8"/>
    <w:rsid w:val="68AC768D"/>
    <w:rsid w:val="6962B6A2"/>
    <w:rsid w:val="69AB47A3"/>
    <w:rsid w:val="6B956923"/>
    <w:rsid w:val="6C5A1292"/>
    <w:rsid w:val="6C77AA11"/>
    <w:rsid w:val="6CEF086C"/>
    <w:rsid w:val="6D35E929"/>
    <w:rsid w:val="6D6EC35B"/>
    <w:rsid w:val="6D79DE19"/>
    <w:rsid w:val="6DC56BFA"/>
    <w:rsid w:val="6E6399A3"/>
    <w:rsid w:val="6E7C8C1E"/>
    <w:rsid w:val="6E81771E"/>
    <w:rsid w:val="6EA2B1D3"/>
    <w:rsid w:val="6F110193"/>
    <w:rsid w:val="6F472FC4"/>
    <w:rsid w:val="702F919F"/>
    <w:rsid w:val="70BA04F6"/>
    <w:rsid w:val="7199ADE2"/>
    <w:rsid w:val="71A84E8B"/>
    <w:rsid w:val="73C7BC35"/>
    <w:rsid w:val="73E46E11"/>
    <w:rsid w:val="747A3730"/>
    <w:rsid w:val="74812688"/>
    <w:rsid w:val="74E13ECE"/>
    <w:rsid w:val="7569D6D8"/>
    <w:rsid w:val="77F2F614"/>
    <w:rsid w:val="77F5635C"/>
    <w:rsid w:val="781D5DA6"/>
    <w:rsid w:val="79467CE7"/>
    <w:rsid w:val="7A084E6F"/>
    <w:rsid w:val="7A1C404B"/>
    <w:rsid w:val="7AE86322"/>
    <w:rsid w:val="7AF1A5F9"/>
    <w:rsid w:val="7AF68E44"/>
    <w:rsid w:val="7BF96BB5"/>
    <w:rsid w:val="7C36D828"/>
    <w:rsid w:val="7C97879A"/>
    <w:rsid w:val="7CAB45D5"/>
    <w:rsid w:val="7CB6DC0B"/>
    <w:rsid w:val="7CD40411"/>
    <w:rsid w:val="7D1F8D91"/>
    <w:rsid w:val="7D21DD6A"/>
    <w:rsid w:val="7DB43444"/>
    <w:rsid w:val="7DEAA50A"/>
    <w:rsid w:val="7DF69E49"/>
    <w:rsid w:val="7DFFDF11"/>
    <w:rsid w:val="7E31194B"/>
    <w:rsid w:val="7E5F4E0F"/>
    <w:rsid w:val="7E68A8D9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92DE7"/>
  <w15:chartTrackingRefBased/>
  <w15:docId w15:val="{304B6F91-90E0-4202-A645-283470F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AA8"/>
  </w:style>
  <w:style w:type="paragraph" w:styleId="berschrift1">
    <w:name w:val="heading 1"/>
    <w:basedOn w:val="Standard"/>
    <w:next w:val="Standard"/>
    <w:link w:val="berschrift1Zchn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0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0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00A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00A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Kopfzeile">
    <w:name w:val="header"/>
    <w:link w:val="KopfzeileZchn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KopfzeileZchn">
    <w:name w:val="Kopfzeile Zchn"/>
    <w:basedOn w:val="Absatz-Standardschriftart"/>
    <w:link w:val="Kopfzeile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uzeile">
    <w:name w:val="footer"/>
    <w:link w:val="FuzeileZchn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uzeileZchn">
    <w:name w:val="Fußzeile Zchn"/>
    <w:basedOn w:val="Absatz-Standardschriftart"/>
    <w:link w:val="Fuzeile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qFormat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Absatz-Standardschriftar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Standard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berarbeitung">
    <w:name w:val="Revision"/>
    <w:hidden/>
    <w:uiPriority w:val="99"/>
    <w:semiHidden/>
    <w:rsid w:val="00DD1FB4"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54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54F6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77747B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38F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35F0"/>
    <w:rPr>
      <w:color w:val="954F72" w:themeColor="followedHyperlink"/>
      <w:u w:val="single"/>
    </w:rPr>
  </w:style>
  <w:style w:type="paragraph" w:customStyle="1" w:styleId="Contact">
    <w:name w:val="Contact"/>
    <w:qFormat/>
    <w:rsid w:val="0005073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111"/>
      </w:tabs>
      <w:spacing w:line="210" w:lineRule="atLeast"/>
    </w:pPr>
    <w:rPr>
      <w:rFonts w:ascii="Sennheiser Office" w:eastAsia="Sennheiser Office" w:hAnsi="Sennheiser Office" w:cs="Sennheiser Office"/>
      <w:color w:val="000000"/>
      <w:kern w:val="0"/>
      <w:sz w:val="15"/>
      <w:szCs w:val="15"/>
      <w:u w:color="000000"/>
      <w:bdr w:val="nil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queline.gusmag@sennheis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nnheiser-hear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sennheiser.com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A80B542-9FE3-4E1C-9CCA-D18510CE3B60}">
    <t:Anchor>
      <t:Comment id="1925389511"/>
    </t:Anchor>
    <t:History>
      <t:Event id="{D797353F-5327-4D35-A296-2AF5D0CF73D4}" time="2026-05-20T17:41:13.119Z">
        <t:Attribution userId="S::jns02@acuitysso.com::75a01ba9-6376-4156-8c09-488e40e4bd73" userProvider="AD" userName="Smith, Jen N"/>
        <t:Anchor>
          <t:Comment id="1925389511"/>
        </t:Anchor>
        <t:Create/>
      </t:Event>
      <t:Event id="{B5459ABC-69A4-4588-B019-1EA3CECBB747}" time="2026-05-20T17:41:13.119Z">
        <t:Attribution userId="S::jns02@acuitysso.com::75a01ba9-6376-4156-8c09-488e40e4bd73" userProvider="AD" userName="Smith, Jen N"/>
        <t:Anchor>
          <t:Comment id="1925389511"/>
        </t:Anchor>
        <t:Assign userId="S::GDE02@acuitysso.com::b042890d-a9c7-4ac1-ac98-3f594da44eed" userProvider="AD" userName="Evans, Gary D"/>
      </t:Event>
      <t:Event id="{5C55B62B-632F-4ACB-8E71-F927EFD15C2E}" time="2026-05-20T17:41:13.119Z">
        <t:Attribution userId="S::jns02@acuitysso.com::75a01ba9-6376-4156-8c09-488e40e4bd73" userProvider="AD" userName="Smith, Jen N"/>
        <t:Anchor>
          <t:Comment id="1925389511"/>
        </t:Anchor>
        <t:SetTitle title="@Evans, Gary D - I would change your employer to Acuity Intelligent Spaces OR QSC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824b72d-9550-4000-af49-48a701730a58" xsi:nil="true"/>
    <lcf76f155ced4ddcb4097134ff3c332f xmlns="a1a6f893-8510-4423-aef8-e90ae9d508d3">
      <Terms xmlns="http://schemas.microsoft.com/office/infopath/2007/PartnerControls"/>
    </lcf76f155ced4ddcb4097134ff3c332f>
    <TaxCatchAll xmlns="3aa8ab54-692f-412c-b4a7-0dbeabc80c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7B3FBD48D094E85C1F7ED967D0CCC" ma:contentTypeVersion="4" ma:contentTypeDescription="Create a new document." ma:contentTypeScope="" ma:versionID="ee8b4cfb90611e9ab0a491f339d312f7">
  <xsd:schema xmlns:xsd="http://www.w3.org/2001/XMLSchema" xmlns:xs="http://www.w3.org/2001/XMLSchema" xmlns:p="http://schemas.microsoft.com/office/2006/metadata/properties" xmlns:ns2="f824b72d-9550-4000-af49-48a701730a58" xmlns:ns3="c6843a1e-3197-4550-86fb-4fcb2d40c31d" xmlns:ns4="a1a6f893-8510-4423-aef8-e90ae9d508d3" xmlns:ns5="3aa8ab54-692f-412c-b4a7-0dbeabc80c8b" targetNamespace="http://schemas.microsoft.com/office/2006/metadata/properties" ma:root="true" ma:fieldsID="61dcfc04924644eee8ce240f5d7dc9d4" ns2:_="" ns3:_="" ns4:_="" ns5:_="">
    <xsd:import namespace="f824b72d-9550-4000-af49-48a701730a58"/>
    <xsd:import namespace="c6843a1e-3197-4550-86fb-4fcb2d40c31d"/>
    <xsd:import namespace="a1a6f893-8510-4423-aef8-e90ae9d508d3"/>
    <xsd:import namespace="3aa8ab54-692f-412c-b4a7-0dbeabc80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4b72d-9550-4000-af49-48a701730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3a1e-3197-4550-86fb-4fcb2d40c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f893-8510-4423-aef8-e90ae9d508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290c1-96b0-4f2d-adb8-16022e588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b54-692f-412c-b4a7-0dbeabc80c8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344712c-34ec-4802-bc42-d30448123f62}" ma:internalName="TaxCatchAll" ma:showField="CatchAllData" ma:web="3aa8ab54-692f-412c-b4a7-0dbeabc80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f824b72d-9550-4000-af49-48a701730a58"/>
    <ds:schemaRef ds:uri="a1a6f893-8510-4423-aef8-e90ae9d508d3"/>
    <ds:schemaRef ds:uri="3aa8ab54-692f-412c-b4a7-0dbeabc80c8b"/>
  </ds:schemaRefs>
</ds:datastoreItem>
</file>

<file path=customXml/itemProps2.xml><?xml version="1.0" encoding="utf-8"?>
<ds:datastoreItem xmlns:ds="http://schemas.openxmlformats.org/officeDocument/2006/customXml" ds:itemID="{BC2A69E3-FF71-4580-9B08-2BC82770F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4b72d-9550-4000-af49-48a701730a58"/>
    <ds:schemaRef ds:uri="c6843a1e-3197-4550-86fb-4fcb2d40c31d"/>
    <ds:schemaRef ds:uri="a1a6f893-8510-4423-aef8-e90ae9d508d3"/>
    <ds:schemaRef ds:uri="3aa8ab54-692f-412c-b4a7-0dbeabc80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  <clbl:label id="{caadbe96-024e-4f67-82ec-fb28ff53d16d}" enabled="0" method="" siteId="{caadbe96-024e-4f67-82ec-fb28ff53d1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6006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>, docId:344446B11846817B6520D372D93BE19F</cp:keywords>
  <dc:description/>
  <cp:lastModifiedBy>Lena Gensch</cp:lastModifiedBy>
  <cp:revision>2</cp:revision>
  <dcterms:created xsi:type="dcterms:W3CDTF">2026-06-08T07:30:00Z</dcterms:created>
  <dcterms:modified xsi:type="dcterms:W3CDTF">2026-06-08T07:30:00Z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0x0101009527B3FBD48D094E85C1F7ED967D0CCC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  <property fmtid="{D5CDD505-2E9C-101B-9397-08002B2CF9AE}" pid="10" name="docLang">
    <vt:lpwstr>en</vt:lpwstr>
  </property>
</Properties>
</file>